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8F9" w:rsidRDefault="003138F9">
      <w:pPr>
        <w:pStyle w:val="af5"/>
        <w:tabs>
          <w:tab w:val="left" w:pos="1418"/>
        </w:tabs>
        <w:spacing w:line="300" w:lineRule="auto"/>
        <w:ind w:left="709" w:right="40" w:firstLine="0"/>
        <w:contextualSpacing/>
        <w:jc w:val="center"/>
        <w:rPr>
          <w:rFonts w:ascii="Verdana" w:hAnsi="Verdana"/>
          <w:b/>
        </w:rPr>
      </w:pPr>
    </w:p>
    <w:p w:rsidR="003138F9" w:rsidRDefault="003138F9">
      <w:pPr>
        <w:pStyle w:val="af5"/>
        <w:tabs>
          <w:tab w:val="left" w:pos="1418"/>
        </w:tabs>
        <w:spacing w:line="300" w:lineRule="auto"/>
        <w:ind w:left="709" w:right="40" w:firstLine="0"/>
        <w:contextualSpacing/>
        <w:jc w:val="center"/>
        <w:rPr>
          <w:rFonts w:ascii="Verdana" w:hAnsi="Verdana"/>
          <w:b/>
        </w:rPr>
      </w:pPr>
    </w:p>
    <w:p w:rsidR="003138F9" w:rsidRDefault="00007376">
      <w:pPr>
        <w:pStyle w:val="af5"/>
        <w:tabs>
          <w:tab w:val="left" w:pos="1418"/>
        </w:tabs>
        <w:spacing w:line="300" w:lineRule="auto"/>
        <w:ind w:left="709" w:right="40" w:firstLine="0"/>
        <w:contextualSpacing/>
        <w:jc w:val="center"/>
        <w:rPr>
          <w:rFonts w:ascii="Verdana" w:hAnsi="Verdana"/>
          <w:b/>
        </w:rPr>
      </w:pPr>
      <w:r>
        <w:rPr>
          <w:rFonts w:ascii="Verdana" w:hAnsi="Verdana"/>
          <w:b/>
        </w:rPr>
        <w:t xml:space="preserve">Риск-метрики Проектного финансирования </w:t>
      </w:r>
    </w:p>
    <w:p w:rsidR="003138F9" w:rsidRDefault="003138F9">
      <w:pPr>
        <w:pStyle w:val="af5"/>
        <w:tabs>
          <w:tab w:val="left" w:pos="1418"/>
        </w:tabs>
        <w:spacing w:line="300" w:lineRule="auto"/>
        <w:ind w:left="709" w:right="40" w:firstLine="0"/>
        <w:contextualSpacing/>
        <w:jc w:val="center"/>
        <w:rPr>
          <w:rFonts w:ascii="Verdana" w:hAnsi="Verdana"/>
          <w:b/>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238"/>
        <w:gridCol w:w="709"/>
        <w:gridCol w:w="4545"/>
        <w:gridCol w:w="3953"/>
        <w:gridCol w:w="3373"/>
      </w:tblGrid>
      <w:tr w:rsidR="003138F9">
        <w:trPr>
          <w:trHeight w:val="384"/>
        </w:trPr>
        <w:tc>
          <w:tcPr>
            <w:tcW w:w="194" w:type="pct"/>
            <w:shd w:val="clear" w:color="auto" w:fill="D5DCE4" w:themeFill="text2" w:themeFillTint="33"/>
            <w:noWrap/>
          </w:tcPr>
          <w:p w:rsidR="003138F9" w:rsidRDefault="00007376">
            <w:pPr>
              <w:spacing w:after="0" w:line="300" w:lineRule="auto"/>
              <w:contextualSpacing/>
              <w:rPr>
                <w:rFonts w:ascii="Verdana" w:eastAsia="Times New Roman" w:hAnsi="Verdana"/>
                <w:b/>
                <w:bCs/>
                <w:color w:val="000000"/>
                <w:lang w:eastAsia="ru-RU"/>
              </w:rPr>
            </w:pPr>
            <w:r>
              <w:rPr>
                <w:rFonts w:ascii="Verdana" w:eastAsia="Times New Roman" w:hAnsi="Verdana"/>
                <w:b/>
                <w:bCs/>
                <w:color w:val="000000"/>
                <w:lang w:eastAsia="ru-RU"/>
              </w:rPr>
              <w:t>№</w:t>
            </w:r>
          </w:p>
        </w:tc>
        <w:tc>
          <w:tcPr>
            <w:tcW w:w="726" w:type="pct"/>
            <w:shd w:val="clear" w:color="auto" w:fill="D5DCE4" w:themeFill="text2" w:themeFillTint="33"/>
          </w:tcPr>
          <w:p w:rsidR="003138F9" w:rsidRDefault="00007376">
            <w:pPr>
              <w:spacing w:after="0" w:line="300" w:lineRule="auto"/>
              <w:contextualSpacing/>
              <w:rPr>
                <w:rFonts w:ascii="Verdana" w:eastAsia="Times New Roman" w:hAnsi="Verdana"/>
                <w:b/>
                <w:bCs/>
                <w:color w:val="000000"/>
                <w:lang w:eastAsia="ru-RU"/>
              </w:rPr>
            </w:pPr>
            <w:r>
              <w:rPr>
                <w:rFonts w:ascii="Verdana" w:eastAsia="Times New Roman" w:hAnsi="Verdana"/>
                <w:b/>
                <w:bCs/>
                <w:color w:val="000000"/>
                <w:lang w:eastAsia="ru-RU"/>
              </w:rPr>
              <w:t>Тип сделки</w:t>
            </w:r>
          </w:p>
        </w:tc>
        <w:tc>
          <w:tcPr>
            <w:tcW w:w="1704" w:type="pct"/>
            <w:gridSpan w:val="2"/>
            <w:shd w:val="clear" w:color="auto" w:fill="D5DCE4" w:themeFill="text2" w:themeFillTint="33"/>
            <w:noWrap/>
          </w:tcPr>
          <w:p w:rsidR="003138F9" w:rsidRDefault="00007376">
            <w:pPr>
              <w:spacing w:after="0" w:line="300" w:lineRule="auto"/>
              <w:contextualSpacing/>
              <w:jc w:val="center"/>
              <w:rPr>
                <w:rFonts w:ascii="Verdana" w:eastAsia="Times New Roman" w:hAnsi="Verdana"/>
                <w:b/>
                <w:bCs/>
                <w:color w:val="000000"/>
                <w:lang w:eastAsia="ru-RU"/>
              </w:rPr>
            </w:pPr>
            <w:r>
              <w:rPr>
                <w:rFonts w:ascii="Verdana" w:eastAsia="Times New Roman" w:hAnsi="Verdana"/>
                <w:b/>
                <w:bCs/>
                <w:color w:val="000000"/>
                <w:lang w:eastAsia="ru-RU"/>
              </w:rPr>
              <w:t>Показатель</w:t>
            </w:r>
            <w:r>
              <w:rPr>
                <w:rStyle w:val="afa"/>
                <w:rFonts w:ascii="Verdana" w:eastAsia="Times New Roman" w:hAnsi="Verdana"/>
                <w:b/>
                <w:bCs/>
                <w:color w:val="000000"/>
                <w:lang w:eastAsia="ru-RU"/>
              </w:rPr>
              <w:footnoteReference w:id="1"/>
            </w:r>
          </w:p>
        </w:tc>
        <w:tc>
          <w:tcPr>
            <w:tcW w:w="1282" w:type="pct"/>
            <w:shd w:val="clear" w:color="auto" w:fill="D5DCE4" w:themeFill="text2" w:themeFillTint="33"/>
            <w:noWrap/>
          </w:tcPr>
          <w:p w:rsidR="003138F9" w:rsidRDefault="00007376">
            <w:pPr>
              <w:spacing w:after="0" w:line="300" w:lineRule="auto"/>
              <w:contextualSpacing/>
              <w:jc w:val="center"/>
              <w:rPr>
                <w:rFonts w:ascii="Verdana" w:eastAsia="Times New Roman" w:hAnsi="Verdana"/>
                <w:b/>
                <w:bCs/>
                <w:color w:val="000000"/>
                <w:lang w:eastAsia="ru-RU"/>
              </w:rPr>
            </w:pPr>
            <w:r>
              <w:rPr>
                <w:rFonts w:ascii="Verdana" w:eastAsia="Times New Roman" w:hAnsi="Verdana"/>
                <w:b/>
                <w:bCs/>
                <w:color w:val="000000"/>
                <w:lang w:eastAsia="ru-RU"/>
              </w:rPr>
              <w:t>Целевое значение показателя</w:t>
            </w:r>
          </w:p>
        </w:tc>
        <w:tc>
          <w:tcPr>
            <w:tcW w:w="1094" w:type="pct"/>
            <w:shd w:val="clear" w:color="auto" w:fill="D5DCE4" w:themeFill="text2" w:themeFillTint="33"/>
          </w:tcPr>
          <w:p w:rsidR="003138F9" w:rsidRDefault="00007376">
            <w:pPr>
              <w:spacing w:after="0" w:line="300" w:lineRule="auto"/>
              <w:contextualSpacing/>
              <w:jc w:val="center"/>
              <w:rPr>
                <w:rFonts w:ascii="Verdana" w:eastAsia="Times New Roman" w:hAnsi="Verdana"/>
                <w:b/>
                <w:bCs/>
                <w:color w:val="000000"/>
                <w:lang w:eastAsia="ru-RU"/>
              </w:rPr>
            </w:pPr>
            <w:r>
              <w:rPr>
                <w:rFonts w:ascii="Verdana" w:eastAsia="Times New Roman" w:hAnsi="Verdana"/>
                <w:b/>
                <w:bCs/>
                <w:color w:val="000000"/>
                <w:lang w:eastAsia="ru-RU"/>
              </w:rPr>
              <w:t>Расчетное значение показателя</w:t>
            </w:r>
          </w:p>
        </w:tc>
      </w:tr>
      <w:tr w:rsidR="003138F9">
        <w:trPr>
          <w:trHeight w:val="110"/>
        </w:trPr>
        <w:tc>
          <w:tcPr>
            <w:tcW w:w="194" w:type="pct"/>
            <w:vMerge w:val="restart"/>
            <w:noWrap/>
            <w:vAlign w:val="center"/>
          </w:tcPr>
          <w:p w:rsidR="003138F9" w:rsidRDefault="00007376">
            <w:pPr>
              <w:spacing w:after="0" w:line="300" w:lineRule="auto"/>
              <w:contextualSpacing/>
              <w:jc w:val="both"/>
              <w:rPr>
                <w:rFonts w:ascii="Verdana" w:eastAsia="Times New Roman" w:hAnsi="Verdana"/>
                <w:color w:val="000000"/>
                <w:lang w:eastAsia="ru-RU"/>
              </w:rPr>
            </w:pPr>
            <w:r>
              <w:rPr>
                <w:rFonts w:ascii="Verdana" w:eastAsia="Times New Roman" w:hAnsi="Verdana"/>
                <w:color w:val="000000"/>
                <w:lang w:eastAsia="ru-RU"/>
              </w:rPr>
              <w:t>   </w:t>
            </w:r>
          </w:p>
        </w:tc>
        <w:tc>
          <w:tcPr>
            <w:tcW w:w="726" w:type="pct"/>
            <w:vMerge w:val="restart"/>
            <w:noWrap/>
            <w:vAlign w:val="center"/>
          </w:tcPr>
          <w:p w:rsidR="003138F9" w:rsidRDefault="00007376">
            <w:pPr>
              <w:spacing w:after="0" w:line="300" w:lineRule="auto"/>
              <w:contextualSpacing/>
              <w:jc w:val="both"/>
              <w:rPr>
                <w:rFonts w:ascii="Verdana" w:eastAsia="Times New Roman" w:hAnsi="Verdana"/>
                <w:color w:val="000000"/>
                <w:lang w:eastAsia="ru-RU"/>
              </w:rPr>
            </w:pPr>
            <w:r>
              <w:rPr>
                <w:rFonts w:ascii="Verdana" w:eastAsia="Times New Roman" w:hAnsi="Verdana"/>
                <w:color w:val="000000"/>
                <w:lang w:eastAsia="ru-RU"/>
              </w:rPr>
              <w:t>Проектное финансирование</w:t>
            </w:r>
          </w:p>
        </w:tc>
        <w:tc>
          <w:tcPr>
            <w:tcW w:w="230" w:type="pct"/>
            <w:noWrap/>
          </w:tcPr>
          <w:p w:rsidR="003138F9" w:rsidRDefault="00007376">
            <w:pPr>
              <w:spacing w:after="0" w:line="300" w:lineRule="auto"/>
              <w:contextualSpacing/>
              <w:jc w:val="both"/>
              <w:rPr>
                <w:rFonts w:ascii="Verdana" w:eastAsia="Times New Roman" w:hAnsi="Verdana"/>
                <w:color w:val="000000"/>
                <w:lang w:eastAsia="ru-RU"/>
              </w:rPr>
            </w:pPr>
            <w:r>
              <w:rPr>
                <w:rFonts w:ascii="Verdana" w:eastAsia="Times New Roman" w:hAnsi="Verdana"/>
                <w:color w:val="000000"/>
                <w:lang w:eastAsia="ru-RU"/>
              </w:rPr>
              <w:t>1.1</w:t>
            </w:r>
          </w:p>
        </w:tc>
        <w:tc>
          <w:tcPr>
            <w:tcW w:w="1474" w:type="pct"/>
            <w:noWrap/>
          </w:tcPr>
          <w:p w:rsidR="003138F9" w:rsidRDefault="00007376">
            <w:pPr>
              <w:spacing w:after="0" w:line="300" w:lineRule="auto"/>
              <w:contextualSpacing/>
              <w:jc w:val="both"/>
              <w:rPr>
                <w:rFonts w:ascii="Verdana" w:eastAsia="Times New Roman" w:hAnsi="Verdana"/>
                <w:color w:val="000000"/>
                <w:lang w:eastAsia="ru-RU"/>
              </w:rPr>
            </w:pPr>
            <w:r>
              <w:rPr>
                <w:rFonts w:ascii="Verdana" w:eastAsia="Times New Roman" w:hAnsi="Verdana"/>
                <w:color w:val="000000"/>
                <w:lang w:eastAsia="ru-RU"/>
              </w:rPr>
              <w:t>DSCR</w:t>
            </w:r>
            <w:r>
              <w:rPr>
                <w:rStyle w:val="afa"/>
                <w:rFonts w:ascii="Verdana" w:eastAsia="Times New Roman" w:hAnsi="Verdana"/>
                <w:color w:val="000000"/>
                <w:lang w:eastAsia="ru-RU"/>
              </w:rPr>
              <w:footnoteReference w:customMarkFollows="1" w:id="2"/>
              <w:t>2</w:t>
            </w:r>
          </w:p>
        </w:tc>
        <w:tc>
          <w:tcPr>
            <w:tcW w:w="1282" w:type="pct"/>
          </w:tcPr>
          <w:p w:rsidR="003138F9" w:rsidRDefault="00007376">
            <w:pPr>
              <w:spacing w:after="0" w:line="300" w:lineRule="auto"/>
              <w:contextualSpacing/>
              <w:jc w:val="both"/>
              <w:rPr>
                <w:rFonts w:ascii="Verdana" w:eastAsia="Times New Roman" w:hAnsi="Verdana"/>
                <w:color w:val="000000"/>
                <w:highlight w:val="yellow"/>
                <w:lang w:eastAsia="ru-RU"/>
              </w:rPr>
            </w:pPr>
            <w:r>
              <w:rPr>
                <w:rFonts w:ascii="Verdana" w:eastAsia="Times New Roman" w:hAnsi="Verdana"/>
                <w:color w:val="000000"/>
                <w:lang w:eastAsia="ru-RU"/>
              </w:rPr>
              <w:t xml:space="preserve">не менее 1,20 </w:t>
            </w:r>
          </w:p>
        </w:tc>
        <w:tc>
          <w:tcPr>
            <w:tcW w:w="1094" w:type="pct"/>
            <w:noWrap/>
          </w:tcPr>
          <w:p w:rsidR="003138F9" w:rsidRDefault="003138F9">
            <w:pPr>
              <w:spacing w:after="0" w:line="300" w:lineRule="auto"/>
              <w:contextualSpacing/>
              <w:jc w:val="both"/>
              <w:rPr>
                <w:rFonts w:ascii="Verdana" w:eastAsia="Times New Roman" w:hAnsi="Verdana"/>
                <w:color w:val="000000"/>
                <w:lang w:eastAsia="ru-RU"/>
              </w:rPr>
            </w:pPr>
          </w:p>
        </w:tc>
      </w:tr>
      <w:tr w:rsidR="003138F9">
        <w:trPr>
          <w:trHeight w:val="110"/>
        </w:trPr>
        <w:tc>
          <w:tcPr>
            <w:tcW w:w="194" w:type="pct"/>
            <w:vMerge/>
          </w:tcPr>
          <w:p w:rsidR="003138F9" w:rsidRDefault="003138F9">
            <w:pPr>
              <w:spacing w:after="0" w:line="300" w:lineRule="auto"/>
              <w:contextualSpacing/>
              <w:rPr>
                <w:rFonts w:ascii="Verdana" w:eastAsia="Times New Roman" w:hAnsi="Verdana"/>
                <w:color w:val="000000"/>
                <w:lang w:eastAsia="ru-RU"/>
              </w:rPr>
            </w:pPr>
          </w:p>
        </w:tc>
        <w:tc>
          <w:tcPr>
            <w:tcW w:w="726" w:type="pct"/>
            <w:vMerge/>
          </w:tcPr>
          <w:p w:rsidR="003138F9" w:rsidRDefault="003138F9">
            <w:pPr>
              <w:spacing w:after="0" w:line="300" w:lineRule="auto"/>
              <w:contextualSpacing/>
              <w:rPr>
                <w:rFonts w:ascii="Verdana" w:eastAsia="Times New Roman" w:hAnsi="Verdana"/>
                <w:color w:val="000000"/>
                <w:lang w:eastAsia="ru-RU"/>
              </w:rPr>
            </w:pPr>
          </w:p>
        </w:tc>
        <w:tc>
          <w:tcPr>
            <w:tcW w:w="230" w:type="pct"/>
            <w:noWrap/>
          </w:tcPr>
          <w:p w:rsidR="003138F9" w:rsidRDefault="00007376">
            <w:pPr>
              <w:spacing w:after="0" w:line="300" w:lineRule="auto"/>
              <w:contextualSpacing/>
              <w:jc w:val="both"/>
              <w:rPr>
                <w:rFonts w:ascii="Verdana" w:eastAsia="Times New Roman" w:hAnsi="Verdana"/>
                <w:color w:val="000000"/>
                <w:lang w:eastAsia="ru-RU"/>
              </w:rPr>
            </w:pPr>
            <w:r>
              <w:rPr>
                <w:rFonts w:ascii="Verdana" w:eastAsia="Times New Roman" w:hAnsi="Verdana"/>
                <w:color w:val="000000"/>
                <w:lang w:eastAsia="ru-RU"/>
              </w:rPr>
              <w:t>1.2</w:t>
            </w:r>
          </w:p>
        </w:tc>
        <w:tc>
          <w:tcPr>
            <w:tcW w:w="1474" w:type="pct"/>
            <w:noWrap/>
          </w:tcPr>
          <w:p w:rsidR="003138F9" w:rsidRDefault="00007376">
            <w:pPr>
              <w:spacing w:after="0" w:line="300" w:lineRule="auto"/>
              <w:contextualSpacing/>
              <w:jc w:val="both"/>
              <w:rPr>
                <w:rFonts w:ascii="Verdana" w:eastAsia="Times New Roman" w:hAnsi="Verdana"/>
                <w:color w:val="0563C1"/>
                <w:u w:val="single"/>
                <w:lang w:eastAsia="ru-RU"/>
              </w:rPr>
            </w:pPr>
            <w:r>
              <w:rPr>
                <w:rFonts w:ascii="Verdana" w:eastAsia="Times New Roman" w:hAnsi="Verdana"/>
                <w:color w:val="000000"/>
                <w:lang w:eastAsia="ru-RU"/>
              </w:rPr>
              <w:t>Доля собственного участия в проекте</w:t>
            </w:r>
          </w:p>
        </w:tc>
        <w:tc>
          <w:tcPr>
            <w:tcW w:w="1282" w:type="pct"/>
          </w:tcPr>
          <w:p w:rsidR="003138F9" w:rsidRDefault="00007376">
            <w:pPr>
              <w:tabs>
                <w:tab w:val="left" w:pos="1418"/>
              </w:tabs>
              <w:spacing w:after="0" w:line="300" w:lineRule="auto"/>
              <w:ind w:right="40"/>
              <w:contextualSpacing/>
              <w:jc w:val="both"/>
              <w:rPr>
                <w:rFonts w:ascii="Verdana" w:eastAsia="Times New Roman" w:hAnsi="Verdana"/>
                <w:color w:val="000000"/>
                <w:lang w:eastAsia="ru-RU"/>
              </w:rPr>
            </w:pPr>
            <w:r>
              <w:rPr>
                <w:rFonts w:ascii="Verdana" w:eastAsia="Times New Roman" w:hAnsi="Verdana"/>
                <w:color w:val="000000"/>
                <w:lang w:eastAsia="ru-RU"/>
              </w:rPr>
              <w:t>не менее 20%</w:t>
            </w:r>
          </w:p>
        </w:tc>
        <w:tc>
          <w:tcPr>
            <w:tcW w:w="1094" w:type="pct"/>
            <w:noWrap/>
          </w:tcPr>
          <w:p w:rsidR="003138F9" w:rsidRDefault="003138F9">
            <w:pPr>
              <w:spacing w:after="0" w:line="300" w:lineRule="auto"/>
              <w:contextualSpacing/>
              <w:rPr>
                <w:rFonts w:ascii="Verdana" w:eastAsia="Times New Roman" w:hAnsi="Verdana"/>
                <w:color w:val="000000"/>
                <w:lang w:eastAsia="ru-RU"/>
              </w:rPr>
            </w:pPr>
          </w:p>
        </w:tc>
      </w:tr>
      <w:tr w:rsidR="003138F9">
        <w:trPr>
          <w:trHeight w:val="245"/>
        </w:trPr>
        <w:tc>
          <w:tcPr>
            <w:tcW w:w="194" w:type="pct"/>
            <w:vMerge/>
          </w:tcPr>
          <w:p w:rsidR="003138F9" w:rsidRDefault="003138F9">
            <w:pPr>
              <w:spacing w:after="0" w:line="300" w:lineRule="auto"/>
              <w:contextualSpacing/>
              <w:rPr>
                <w:rFonts w:ascii="Verdana" w:eastAsia="Times New Roman" w:hAnsi="Verdana"/>
                <w:color w:val="000000"/>
                <w:lang w:eastAsia="ru-RU"/>
              </w:rPr>
            </w:pPr>
          </w:p>
        </w:tc>
        <w:tc>
          <w:tcPr>
            <w:tcW w:w="726" w:type="pct"/>
            <w:vMerge/>
          </w:tcPr>
          <w:p w:rsidR="003138F9" w:rsidRDefault="003138F9">
            <w:pPr>
              <w:spacing w:after="0" w:line="300" w:lineRule="auto"/>
              <w:contextualSpacing/>
              <w:rPr>
                <w:rFonts w:ascii="Verdana" w:eastAsia="Times New Roman" w:hAnsi="Verdana"/>
                <w:color w:val="000000"/>
                <w:lang w:eastAsia="ru-RU"/>
              </w:rPr>
            </w:pPr>
          </w:p>
        </w:tc>
        <w:tc>
          <w:tcPr>
            <w:tcW w:w="230" w:type="pct"/>
            <w:noWrap/>
          </w:tcPr>
          <w:p w:rsidR="003138F9" w:rsidRDefault="00007376">
            <w:pPr>
              <w:spacing w:after="0" w:line="300" w:lineRule="auto"/>
              <w:contextualSpacing/>
              <w:jc w:val="both"/>
              <w:rPr>
                <w:rFonts w:ascii="Verdana" w:eastAsia="Times New Roman" w:hAnsi="Verdana"/>
                <w:color w:val="000000"/>
                <w:lang w:eastAsia="ru-RU"/>
              </w:rPr>
            </w:pPr>
            <w:r>
              <w:rPr>
                <w:rFonts w:ascii="Verdana" w:eastAsia="Times New Roman" w:hAnsi="Verdana"/>
                <w:color w:val="000000"/>
                <w:lang w:eastAsia="ru-RU"/>
              </w:rPr>
              <w:t>1.3</w:t>
            </w:r>
          </w:p>
        </w:tc>
        <w:tc>
          <w:tcPr>
            <w:tcW w:w="1474" w:type="pct"/>
            <w:noWrap/>
          </w:tcPr>
          <w:p w:rsidR="003138F9" w:rsidRDefault="00007376">
            <w:pPr>
              <w:spacing w:after="0" w:line="300" w:lineRule="auto"/>
              <w:contextualSpacing/>
              <w:jc w:val="both"/>
              <w:rPr>
                <w:rFonts w:ascii="Verdana" w:eastAsia="Times New Roman" w:hAnsi="Verdana"/>
                <w:color w:val="000000"/>
                <w:lang w:eastAsia="ru-RU"/>
              </w:rPr>
            </w:pPr>
            <w:r>
              <w:rPr>
                <w:rFonts w:ascii="Verdana" w:eastAsia="Times New Roman" w:hAnsi="Verdana"/>
                <w:color w:val="000000"/>
                <w:lang w:eastAsia="ru-RU"/>
              </w:rPr>
              <w:t>Обеспечение процентных платежей</w:t>
            </w:r>
          </w:p>
        </w:tc>
        <w:tc>
          <w:tcPr>
            <w:tcW w:w="1282" w:type="pct"/>
          </w:tcPr>
          <w:p w:rsidR="003138F9" w:rsidRDefault="00007376">
            <w:pPr>
              <w:spacing w:after="0" w:line="300" w:lineRule="auto"/>
              <w:contextualSpacing/>
              <w:jc w:val="both"/>
              <w:rPr>
                <w:rFonts w:ascii="Verdana" w:eastAsia="Times New Roman" w:hAnsi="Verdana"/>
                <w:color w:val="000000"/>
                <w:lang w:eastAsia="ru-RU"/>
              </w:rPr>
            </w:pPr>
            <w:r>
              <w:rPr>
                <w:rFonts w:ascii="Verdana" w:eastAsia="Times New Roman" w:hAnsi="Verdana"/>
                <w:color w:val="000000"/>
                <w:lang w:eastAsia="ru-RU"/>
              </w:rPr>
              <w:t xml:space="preserve">В соответствии с п.9 Методики </w:t>
            </w:r>
          </w:p>
        </w:tc>
        <w:tc>
          <w:tcPr>
            <w:tcW w:w="1094" w:type="pct"/>
            <w:noWrap/>
          </w:tcPr>
          <w:p w:rsidR="003138F9" w:rsidRDefault="003138F9">
            <w:pPr>
              <w:spacing w:after="0" w:line="300" w:lineRule="auto"/>
              <w:contextualSpacing/>
              <w:rPr>
                <w:rFonts w:ascii="Verdana" w:eastAsia="Times New Roman" w:hAnsi="Verdana"/>
                <w:color w:val="000000"/>
                <w:lang w:eastAsia="ru-RU"/>
              </w:rPr>
            </w:pPr>
          </w:p>
        </w:tc>
      </w:tr>
    </w:tbl>
    <w:p w:rsidR="003138F9" w:rsidRDefault="003138F9">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rsidP="00F74F72">
      <w:pPr>
        <w:tabs>
          <w:tab w:val="left" w:pos="1418"/>
        </w:tabs>
        <w:spacing w:after="0" w:line="300" w:lineRule="auto"/>
        <w:ind w:right="40"/>
        <w:contextualSpacing/>
        <w:jc w:val="center"/>
        <w:rPr>
          <w:rFonts w:ascii="Verdana" w:hAnsi="Verdana"/>
          <w:b/>
        </w:rPr>
      </w:pPr>
    </w:p>
    <w:p w:rsidR="00F74F72" w:rsidRDefault="00F74F72" w:rsidP="00F74F72">
      <w:pPr>
        <w:tabs>
          <w:tab w:val="left" w:pos="1418"/>
        </w:tabs>
        <w:spacing w:after="0" w:line="300" w:lineRule="auto"/>
        <w:ind w:right="40"/>
        <w:contextualSpacing/>
        <w:jc w:val="center"/>
        <w:rPr>
          <w:rFonts w:ascii="Verdana" w:hAnsi="Verdana"/>
          <w:b/>
        </w:rPr>
      </w:pPr>
    </w:p>
    <w:p w:rsidR="00F74F72" w:rsidRDefault="00F74F72" w:rsidP="00F74F72">
      <w:pPr>
        <w:tabs>
          <w:tab w:val="left" w:pos="1418"/>
        </w:tabs>
        <w:spacing w:after="0" w:line="300" w:lineRule="auto"/>
        <w:ind w:right="40"/>
        <w:contextualSpacing/>
        <w:jc w:val="center"/>
        <w:rPr>
          <w:rFonts w:ascii="Verdana" w:hAnsi="Verdana"/>
          <w:b/>
        </w:rPr>
      </w:pPr>
      <w:r w:rsidRPr="004D7450">
        <w:rPr>
          <w:rFonts w:ascii="Verdana" w:hAnsi="Verdana"/>
          <w:b/>
        </w:rPr>
        <w:t xml:space="preserve">Методика расчета </w:t>
      </w:r>
      <w:r>
        <w:rPr>
          <w:rFonts w:ascii="Verdana" w:hAnsi="Verdana"/>
          <w:b/>
        </w:rPr>
        <w:t>показателей риск-метрик инвестиционных проектов (включая Сделки проектного финансирования)</w:t>
      </w:r>
    </w:p>
    <w:p w:rsidR="00F74F72" w:rsidRDefault="00F74F72" w:rsidP="00F74F72">
      <w:pPr>
        <w:tabs>
          <w:tab w:val="left" w:pos="1418"/>
        </w:tabs>
        <w:spacing w:after="0" w:line="300" w:lineRule="auto"/>
        <w:ind w:right="40"/>
        <w:contextualSpacing/>
        <w:jc w:val="center"/>
        <w:rPr>
          <w:rFonts w:ascii="Verdana" w:hAnsi="Verdana"/>
          <w:b/>
        </w:rPr>
      </w:pPr>
    </w:p>
    <w:p w:rsidR="00F74F72" w:rsidRPr="004D7450" w:rsidRDefault="00F74F72" w:rsidP="00F74F72">
      <w:pPr>
        <w:tabs>
          <w:tab w:val="left" w:pos="1418"/>
        </w:tabs>
        <w:spacing w:after="0" w:line="300" w:lineRule="auto"/>
        <w:ind w:right="40"/>
        <w:contextualSpacing/>
        <w:rPr>
          <w:rFonts w:ascii="Verdana" w:hAnsi="Verdana"/>
          <w:b/>
        </w:rPr>
      </w:pPr>
    </w:p>
    <w:tbl>
      <w:tblPr>
        <w:tblStyle w:val="af7"/>
        <w:tblW w:w="0" w:type="auto"/>
        <w:tblLook w:val="04A0" w:firstRow="1" w:lastRow="0" w:firstColumn="1" w:lastColumn="0" w:noHBand="0" w:noVBand="1"/>
      </w:tblPr>
      <w:tblGrid>
        <w:gridCol w:w="541"/>
        <w:gridCol w:w="1843"/>
        <w:gridCol w:w="20"/>
        <w:gridCol w:w="12964"/>
        <w:gridCol w:w="20"/>
      </w:tblGrid>
      <w:tr w:rsidR="00F74F72" w:rsidRPr="007B48AE" w:rsidTr="003709F0">
        <w:trPr>
          <w:trHeight w:val="56"/>
        </w:trPr>
        <w:tc>
          <w:tcPr>
            <w:tcW w:w="541" w:type="dxa"/>
            <w:shd w:val="clear" w:color="auto" w:fill="D5DCE4" w:themeFill="text2" w:themeFillTint="33"/>
          </w:tcPr>
          <w:p w:rsidR="00F74F72" w:rsidRPr="007B48AE" w:rsidRDefault="00F74F72" w:rsidP="003709F0">
            <w:pPr>
              <w:tabs>
                <w:tab w:val="left" w:pos="1418"/>
              </w:tabs>
              <w:spacing w:after="0" w:line="300" w:lineRule="auto"/>
              <w:ind w:right="40"/>
              <w:contextualSpacing/>
              <w:rPr>
                <w:rFonts w:ascii="Verdana" w:hAnsi="Verdana"/>
                <w:b/>
              </w:rPr>
            </w:pPr>
            <w:r w:rsidRPr="007B48AE">
              <w:rPr>
                <w:rFonts w:ascii="Verdana" w:hAnsi="Verdana"/>
                <w:b/>
              </w:rPr>
              <w:t>№</w:t>
            </w:r>
          </w:p>
        </w:tc>
        <w:tc>
          <w:tcPr>
            <w:tcW w:w="1863" w:type="dxa"/>
            <w:gridSpan w:val="2"/>
            <w:shd w:val="clear" w:color="auto" w:fill="D5DCE4" w:themeFill="text2" w:themeFillTint="33"/>
          </w:tcPr>
          <w:p w:rsidR="00F74F72" w:rsidRPr="007B48AE" w:rsidRDefault="00F74F72" w:rsidP="003709F0">
            <w:pPr>
              <w:tabs>
                <w:tab w:val="left" w:pos="1418"/>
              </w:tabs>
              <w:spacing w:after="0" w:line="300" w:lineRule="auto"/>
              <w:ind w:right="40"/>
              <w:contextualSpacing/>
              <w:rPr>
                <w:rFonts w:ascii="Verdana" w:hAnsi="Verdana"/>
                <w:b/>
              </w:rPr>
            </w:pPr>
            <w:r w:rsidRPr="007B48AE">
              <w:rPr>
                <w:rFonts w:ascii="Verdana" w:hAnsi="Verdana"/>
                <w:b/>
              </w:rPr>
              <w:t>Показатель</w:t>
            </w:r>
          </w:p>
        </w:tc>
        <w:tc>
          <w:tcPr>
            <w:tcW w:w="12984" w:type="dxa"/>
            <w:gridSpan w:val="2"/>
            <w:shd w:val="clear" w:color="auto" w:fill="D5DCE4" w:themeFill="text2" w:themeFillTint="33"/>
          </w:tcPr>
          <w:p w:rsidR="00F74F72" w:rsidRPr="007B48AE" w:rsidRDefault="00F74F72" w:rsidP="003709F0">
            <w:pPr>
              <w:tabs>
                <w:tab w:val="left" w:pos="1418"/>
              </w:tabs>
              <w:spacing w:after="0" w:line="300" w:lineRule="auto"/>
              <w:ind w:right="40"/>
              <w:contextualSpacing/>
              <w:jc w:val="center"/>
              <w:rPr>
                <w:rFonts w:ascii="Verdana" w:hAnsi="Verdana"/>
                <w:b/>
              </w:rPr>
            </w:pPr>
            <w:r>
              <w:rPr>
                <w:rFonts w:ascii="Verdana" w:hAnsi="Verdana"/>
                <w:b/>
              </w:rPr>
              <w:t>Компоненты показателя</w:t>
            </w:r>
          </w:p>
        </w:tc>
      </w:tr>
      <w:tr w:rsidR="00F74F72" w:rsidRPr="007B48AE" w:rsidTr="003709F0">
        <w:trPr>
          <w:gridAfter w:val="1"/>
          <w:wAfter w:w="20" w:type="dxa"/>
          <w:trHeight w:val="281"/>
        </w:trPr>
        <w:tc>
          <w:tcPr>
            <w:tcW w:w="541" w:type="dxa"/>
          </w:tcPr>
          <w:p w:rsidR="00F74F72" w:rsidRPr="007B48AE" w:rsidRDefault="00F74F72" w:rsidP="00F74F72">
            <w:pPr>
              <w:pStyle w:val="af5"/>
              <w:numPr>
                <w:ilvl w:val="0"/>
                <w:numId w:val="18"/>
              </w:numPr>
              <w:tabs>
                <w:tab w:val="left" w:pos="1418"/>
              </w:tabs>
              <w:autoSpaceDE w:val="0"/>
              <w:autoSpaceDN w:val="0"/>
              <w:spacing w:line="300" w:lineRule="auto"/>
              <w:ind w:right="40"/>
              <w:contextualSpacing/>
              <w:rPr>
                <w:rFonts w:ascii="Verdana" w:hAnsi="Verdana"/>
              </w:rPr>
            </w:pPr>
          </w:p>
        </w:tc>
        <w:tc>
          <w:tcPr>
            <w:tcW w:w="1843" w:type="dxa"/>
          </w:tcPr>
          <w:p w:rsidR="00F74F72" w:rsidRPr="007B48AE" w:rsidRDefault="00F74F72" w:rsidP="003709F0">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Финансовый долг</w:t>
            </w:r>
          </w:p>
        </w:tc>
        <w:tc>
          <w:tcPr>
            <w:tcW w:w="12984" w:type="dxa"/>
            <w:gridSpan w:val="2"/>
          </w:tcPr>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12051"/>
            </w:tblGrid>
            <w:tr w:rsidR="00F74F72" w:rsidRPr="007B48AE" w:rsidTr="003709F0">
              <w:tc>
                <w:tcPr>
                  <w:tcW w:w="718" w:type="dxa"/>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12158" w:type="dxa"/>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Строка 1510 Бухгалтерского баланса «Заемные средства»;</w:t>
                  </w:r>
                </w:p>
              </w:tc>
            </w:tr>
            <w:tr w:rsidR="00F74F72" w:rsidRPr="007B48AE" w:rsidTr="003709F0">
              <w:tc>
                <w:tcPr>
                  <w:tcW w:w="718" w:type="dxa"/>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12158" w:type="dxa"/>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Строка 1410 Бухгалтерского баланса «Заемные средства»;</w:t>
                  </w:r>
                </w:p>
              </w:tc>
            </w:tr>
            <w:tr w:rsidR="00F74F72" w:rsidRPr="007B48AE" w:rsidTr="003709F0">
              <w:tc>
                <w:tcPr>
                  <w:tcW w:w="718" w:type="dxa"/>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12158" w:type="dxa"/>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 xml:space="preserve">Остаток платежей по договорам лизинга в соответствии с графиком </w:t>
                  </w:r>
                  <w:r w:rsidRPr="00771FDD">
                    <w:rPr>
                      <w:rFonts w:ascii="Verdana" w:hAnsi="Verdana"/>
                      <w:iCs/>
                    </w:rPr>
                    <w:t>платежей;</w:t>
                  </w:r>
                  <w:r w:rsidRPr="007B48AE">
                    <w:rPr>
                      <w:rFonts w:ascii="Verdana" w:hAnsi="Verdana"/>
                      <w:iCs/>
                    </w:rPr>
                    <w:t xml:space="preserve"> </w:t>
                  </w:r>
                </w:p>
              </w:tc>
            </w:tr>
            <w:tr w:rsidR="00F74F72" w:rsidRPr="007B48AE" w:rsidTr="003709F0">
              <w:tc>
                <w:tcPr>
                  <w:tcW w:w="718" w:type="dxa"/>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12158" w:type="dxa"/>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Сумма кредитного договора (устанавливаемого лимита) и (или) договора займа, обеспечиваемого Независимой гарантией Корпорации;</w:t>
                  </w:r>
                </w:p>
              </w:tc>
            </w:tr>
            <w:tr w:rsidR="00F74F72" w:rsidRPr="007B48AE" w:rsidTr="003709F0">
              <w:tc>
                <w:tcPr>
                  <w:tcW w:w="718" w:type="dxa"/>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12158" w:type="dxa"/>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Субординированная задолженность. Под субординированной задолженностью (</w:t>
                  </w:r>
                  <w:r>
                    <w:rPr>
                      <w:rFonts w:ascii="Verdana" w:hAnsi="Verdana"/>
                      <w:iCs/>
                    </w:rPr>
                    <w:t>в том числе</w:t>
                  </w:r>
                  <w:r w:rsidRPr="007B48AE">
                    <w:rPr>
                      <w:rFonts w:ascii="Verdana" w:hAnsi="Verdana"/>
                      <w:iCs/>
                    </w:rPr>
                    <w:t xml:space="preserve"> проценты</w:t>
                  </w:r>
                  <w:r>
                    <w:rPr>
                      <w:rFonts w:ascii="Verdana" w:hAnsi="Verdana"/>
                      <w:iCs/>
                    </w:rPr>
                    <w:t xml:space="preserve"> к уплате</w:t>
                  </w:r>
                  <w:r w:rsidRPr="007B48AE">
                    <w:rPr>
                      <w:rFonts w:ascii="Verdana" w:hAnsi="Verdana"/>
                      <w:iCs/>
                    </w:rPr>
                    <w:t>) понимается задолженность (часть задолженности</w:t>
                  </w:r>
                  <w:r>
                    <w:rPr>
                      <w:rFonts w:ascii="Verdana" w:hAnsi="Verdana"/>
                      <w:iCs/>
                    </w:rPr>
                    <w:t>, в том числе</w:t>
                  </w:r>
                  <w:r w:rsidRPr="007B48AE">
                    <w:rPr>
                      <w:rFonts w:ascii="Verdana" w:hAnsi="Verdana"/>
                      <w:iCs/>
                    </w:rPr>
                    <w:t xml:space="preserve"> проценты</w:t>
                  </w:r>
                  <w:r>
                    <w:rPr>
                      <w:rFonts w:ascii="Verdana" w:hAnsi="Verdana"/>
                      <w:iCs/>
                    </w:rPr>
                    <w:t xml:space="preserve"> к уплате</w:t>
                  </w:r>
                  <w:r w:rsidRPr="007B48AE">
                    <w:rPr>
                      <w:rFonts w:ascii="Verdana" w:hAnsi="Verdana"/>
                      <w:iCs/>
                    </w:rPr>
                    <w:t xml:space="preserve">) по </w:t>
                  </w:r>
                  <w:r w:rsidRPr="008F329C">
                    <w:rPr>
                      <w:rFonts w:ascii="Verdana" w:hAnsi="Verdana"/>
                      <w:iCs/>
                    </w:rPr>
                    <w:t xml:space="preserve">заключенным договорам займов, </w:t>
                  </w:r>
                  <w:proofErr w:type="spellStart"/>
                  <w:r w:rsidRPr="008F329C">
                    <w:rPr>
                      <w:rFonts w:ascii="Verdana" w:hAnsi="Verdana"/>
                      <w:iCs/>
                    </w:rPr>
                    <w:t>новированная</w:t>
                  </w:r>
                  <w:proofErr w:type="spellEnd"/>
                  <w:r w:rsidRPr="008F329C">
                    <w:rPr>
                      <w:rFonts w:ascii="Verdana" w:hAnsi="Verdana"/>
                      <w:iCs/>
                    </w:rPr>
                    <w:t xml:space="preserve"> (</w:t>
                  </w:r>
                  <w:proofErr w:type="spellStart"/>
                  <w:r w:rsidRPr="008F329C">
                    <w:rPr>
                      <w:rFonts w:ascii="Verdana" w:hAnsi="Verdana"/>
                      <w:iCs/>
                    </w:rPr>
                    <w:t>новируемая</w:t>
                  </w:r>
                  <w:proofErr w:type="spellEnd"/>
                  <w:r w:rsidRPr="008F329C">
                    <w:rPr>
                      <w:rFonts w:ascii="Verdana" w:hAnsi="Verdana"/>
                      <w:iCs/>
                    </w:rPr>
                    <w:t xml:space="preserve">) в вексель, переданный (передаваемый) в заклад </w:t>
                  </w:r>
                  <w:r w:rsidRPr="00E72069">
                    <w:rPr>
                      <w:rFonts w:ascii="Verdana" w:hAnsi="Verdana"/>
                      <w:iCs/>
                    </w:rPr>
                    <w:t>(залог)</w:t>
                  </w:r>
                  <w:r w:rsidRPr="008F329C">
                    <w:rPr>
                      <w:rFonts w:ascii="Verdana" w:hAnsi="Verdana"/>
                      <w:iCs/>
                    </w:rPr>
                    <w:t xml:space="preserve"> Финансовой организации-партнеру, срок погашения которого превышает срок кредитного договора и (</w:t>
                  </w:r>
                  <w:r w:rsidRPr="007B48AE">
                    <w:rPr>
                      <w:rFonts w:ascii="Verdana" w:hAnsi="Verdana"/>
                      <w:iCs/>
                    </w:rPr>
                    <w:t>или) договора займа, обеспечиваемого Независимой гарантией Корпорации, либо задолженность (часть задолженности</w:t>
                  </w:r>
                  <w:r>
                    <w:rPr>
                      <w:rFonts w:ascii="Verdana" w:hAnsi="Verdana"/>
                      <w:iCs/>
                    </w:rPr>
                    <w:t>, в том числе</w:t>
                  </w:r>
                  <w:r w:rsidRPr="007B48AE">
                    <w:rPr>
                      <w:rFonts w:ascii="Verdana" w:hAnsi="Verdana"/>
                      <w:iCs/>
                    </w:rPr>
                    <w:t xml:space="preserve"> проценты</w:t>
                  </w:r>
                  <w:r>
                    <w:rPr>
                      <w:rFonts w:ascii="Verdana" w:hAnsi="Verdana"/>
                      <w:iCs/>
                    </w:rPr>
                    <w:t xml:space="preserve"> к уплате</w:t>
                  </w:r>
                  <w:r w:rsidRPr="007B48AE">
                    <w:rPr>
                      <w:rFonts w:ascii="Verdana" w:hAnsi="Verdana"/>
                      <w:iCs/>
                    </w:rPr>
                    <w:t xml:space="preserve">) по заключенным договорам займов, срок погашения которой по условиям заключенного (заключаемого) </w:t>
                  </w:r>
                  <w:proofErr w:type="spellStart"/>
                  <w:r w:rsidRPr="007B48AE">
                    <w:rPr>
                      <w:rFonts w:ascii="Verdana" w:hAnsi="Verdana"/>
                      <w:iCs/>
                    </w:rPr>
                    <w:t>межкредиторского</w:t>
                  </w:r>
                  <w:proofErr w:type="spellEnd"/>
                  <w:r w:rsidRPr="007B48AE">
                    <w:rPr>
                      <w:rFonts w:ascii="Verdana" w:hAnsi="Verdana"/>
                      <w:iCs/>
                    </w:rPr>
                    <w:t xml:space="preserve"> соглашения превышает срок кредитного договора и (или) договора займа, обеспечиваемого Независимой гарантией Корпорации (далее – Субординированная задолженность).</w:t>
                  </w:r>
                </w:p>
              </w:tc>
            </w:tr>
          </w:tbl>
          <w:p w:rsidR="00F74F72" w:rsidRPr="007B48AE" w:rsidRDefault="00F74F72" w:rsidP="003709F0">
            <w:pPr>
              <w:spacing w:after="0" w:line="300" w:lineRule="auto"/>
              <w:contextualSpacing/>
              <w:jc w:val="both"/>
              <w:rPr>
                <w:rFonts w:ascii="Verdana" w:hAnsi="Verdana"/>
                <w:iCs/>
              </w:rPr>
            </w:pPr>
            <w:r w:rsidRPr="007B48AE">
              <w:rPr>
                <w:rFonts w:ascii="Verdana" w:hAnsi="Verdana"/>
                <w:iCs/>
              </w:rPr>
              <w:t>Корпорация, руководствуясь внутренней нормативной документацией, вправе пересмотреть определенный Финансовой организацией-партнером состав участников Группы</w:t>
            </w:r>
            <w:r>
              <w:rPr>
                <w:rFonts w:ascii="Verdana" w:hAnsi="Verdana"/>
                <w:iCs/>
              </w:rPr>
              <w:t>, бухгалтерская отчётность которых использовалась для расчета Показателя</w:t>
            </w:r>
            <w:r w:rsidRPr="007B48AE">
              <w:rPr>
                <w:rFonts w:ascii="Verdana" w:hAnsi="Verdana"/>
                <w:iCs/>
              </w:rPr>
              <w:t>, а также компонент</w:t>
            </w:r>
            <w:r>
              <w:rPr>
                <w:rFonts w:ascii="Verdana" w:hAnsi="Verdana"/>
                <w:iCs/>
              </w:rPr>
              <w:t>ов</w:t>
            </w:r>
            <w:r w:rsidRPr="007B48AE">
              <w:rPr>
                <w:rFonts w:ascii="Verdana" w:hAnsi="Verdana"/>
                <w:iCs/>
              </w:rPr>
              <w:t>, в том числе (но не ограничиваясь):</w:t>
            </w:r>
          </w:p>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12050"/>
            </w:tblGrid>
            <w:tr w:rsidR="00F74F72" w:rsidRPr="007B48AE" w:rsidTr="003709F0">
              <w:tc>
                <w:tcPr>
                  <w:tcW w:w="281" w:type="pct"/>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4719" w:type="pct"/>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Сумма доступных (неиспользованных) лимитов по заключенным кредитным договорам</w:t>
                  </w:r>
                  <w:r>
                    <w:rPr>
                      <w:rStyle w:val="afa"/>
                      <w:rFonts w:ascii="Verdana" w:hAnsi="Verdana"/>
                      <w:iCs/>
                    </w:rPr>
                    <w:footnoteReference w:customMarkFollows="1" w:id="3"/>
                    <w:t>1</w:t>
                  </w:r>
                  <w:r w:rsidRPr="007B48AE">
                    <w:rPr>
                      <w:rFonts w:ascii="Verdana" w:hAnsi="Verdana"/>
                      <w:iCs/>
                    </w:rPr>
                    <w:t xml:space="preserve">; </w:t>
                  </w:r>
                </w:p>
              </w:tc>
            </w:tr>
            <w:tr w:rsidR="00F74F72" w:rsidRPr="007B48AE" w:rsidTr="003709F0">
              <w:tc>
                <w:tcPr>
                  <w:tcW w:w="281" w:type="pct"/>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4719" w:type="pct"/>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 xml:space="preserve">Сумма доступных (неиспользованных) лимитов финансирования по заключенным договорам факторинга, предусматривающим право финансового агента (фактора) предъявить требование к </w:t>
                  </w:r>
                  <w:r w:rsidRPr="007B48AE">
                    <w:rPr>
                      <w:rFonts w:ascii="Verdana" w:hAnsi="Verdana"/>
                      <w:iCs/>
                    </w:rPr>
                    <w:lastRenderedPageBreak/>
                    <w:t>Заемщику и (или) Участникам группы Заемщика в случае неисполнения обязательств по договору должником (п.3 ст.827 ГК РФ)</w:t>
                  </w:r>
                  <w:r w:rsidRPr="004C6629">
                    <w:rPr>
                      <w:rFonts w:ascii="Verdana" w:hAnsi="Verdana"/>
                      <w:vertAlign w:val="superscript"/>
                    </w:rPr>
                    <w:t>1</w:t>
                  </w:r>
                </w:p>
              </w:tc>
            </w:tr>
            <w:tr w:rsidR="00F74F72" w:rsidRPr="007B48AE" w:rsidTr="003709F0">
              <w:tc>
                <w:tcPr>
                  <w:tcW w:w="281" w:type="pct"/>
                </w:tcPr>
                <w:p w:rsidR="00F74F72" w:rsidRPr="007B48AE" w:rsidRDefault="00F74F72" w:rsidP="003709F0">
                  <w:pPr>
                    <w:spacing w:after="0" w:line="300" w:lineRule="auto"/>
                    <w:contextualSpacing/>
                    <w:rPr>
                      <w:rFonts w:ascii="Verdana" w:hAnsi="Verdana"/>
                      <w:iCs/>
                    </w:rPr>
                  </w:pPr>
                  <w:r w:rsidRPr="007B48AE">
                    <w:rPr>
                      <w:rFonts w:ascii="Verdana" w:hAnsi="Verdana"/>
                      <w:iCs/>
                    </w:rPr>
                    <w:lastRenderedPageBreak/>
                    <w:t>(+)</w:t>
                  </w:r>
                </w:p>
              </w:tc>
              <w:tc>
                <w:tcPr>
                  <w:tcW w:w="4719" w:type="pct"/>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Сумма кредитных договоров, договоров займов, договоров лизинга, заключенных после Актуальной даты</w:t>
                  </w:r>
                  <w:r w:rsidRPr="006D328A">
                    <w:rPr>
                      <w:rFonts w:ascii="Verdana" w:hAnsi="Verdana"/>
                      <w:vertAlign w:val="superscript"/>
                    </w:rPr>
                    <w:t>1</w:t>
                  </w:r>
                  <w:r w:rsidRPr="007B48AE">
                    <w:rPr>
                      <w:rFonts w:ascii="Verdana" w:hAnsi="Verdana"/>
                      <w:iCs/>
                    </w:rPr>
                    <w:t>;</w:t>
                  </w:r>
                </w:p>
              </w:tc>
            </w:tr>
            <w:tr w:rsidR="00F74F72" w:rsidRPr="007B48AE" w:rsidTr="003709F0">
              <w:tc>
                <w:tcPr>
                  <w:tcW w:w="281" w:type="pct"/>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4719" w:type="pct"/>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Сумма кредитных договоров (лимитов), договоров займов и договоров лизинга (в размере остатка платежей), планируемых к рефинансированию (замещению) за счет рассматриваемого кредита (кредитного лимита);</w:t>
                  </w:r>
                </w:p>
              </w:tc>
            </w:tr>
            <w:tr w:rsidR="00F74F72" w:rsidRPr="007B48AE" w:rsidTr="003709F0">
              <w:tc>
                <w:tcPr>
                  <w:tcW w:w="281" w:type="pct"/>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4719" w:type="pct"/>
                </w:tcPr>
                <w:p w:rsidR="00F74F72" w:rsidRPr="007B48AE" w:rsidRDefault="00F74F72" w:rsidP="003709F0">
                  <w:pPr>
                    <w:spacing w:after="0" w:line="300" w:lineRule="auto"/>
                    <w:contextualSpacing/>
                    <w:jc w:val="both"/>
                    <w:rPr>
                      <w:rFonts w:ascii="Verdana" w:hAnsi="Verdana"/>
                      <w:iCs/>
                    </w:rPr>
                  </w:pPr>
                  <w:r>
                    <w:rPr>
                      <w:rFonts w:ascii="Verdana" w:hAnsi="Verdana"/>
                      <w:iCs/>
                    </w:rPr>
                    <w:t xml:space="preserve">Задолженность (часть </w:t>
                  </w:r>
                  <w:r w:rsidRPr="007B48AE">
                    <w:rPr>
                      <w:rFonts w:ascii="Verdana" w:hAnsi="Verdana"/>
                      <w:iCs/>
                    </w:rPr>
                    <w:t>задолженности по кредитным договорам, договорам займов, договорам лизинга, погашенный после Актуальной даты.</w:t>
                  </w:r>
                </w:p>
              </w:tc>
            </w:tr>
          </w:tbl>
          <w:p w:rsidR="00F74F72" w:rsidRPr="007B48AE" w:rsidRDefault="00F74F72" w:rsidP="003709F0">
            <w:pPr>
              <w:spacing w:after="0" w:line="300" w:lineRule="auto"/>
              <w:contextualSpacing/>
              <w:jc w:val="both"/>
              <w:rPr>
                <w:rFonts w:ascii="Verdana" w:hAnsi="Verdana"/>
                <w:iCs/>
              </w:rPr>
            </w:pPr>
          </w:p>
        </w:tc>
      </w:tr>
      <w:tr w:rsidR="00F74F72" w:rsidRPr="007B48AE" w:rsidTr="003709F0">
        <w:trPr>
          <w:gridAfter w:val="1"/>
          <w:wAfter w:w="20" w:type="dxa"/>
          <w:trHeight w:val="2124"/>
        </w:trPr>
        <w:tc>
          <w:tcPr>
            <w:tcW w:w="541" w:type="dxa"/>
          </w:tcPr>
          <w:p w:rsidR="00F74F72" w:rsidRPr="007B48AE" w:rsidRDefault="00F74F72" w:rsidP="00F74F72">
            <w:pPr>
              <w:pStyle w:val="af5"/>
              <w:numPr>
                <w:ilvl w:val="0"/>
                <w:numId w:val="18"/>
              </w:numPr>
              <w:tabs>
                <w:tab w:val="left" w:pos="1418"/>
              </w:tabs>
              <w:autoSpaceDE w:val="0"/>
              <w:autoSpaceDN w:val="0"/>
              <w:spacing w:line="300" w:lineRule="auto"/>
              <w:ind w:right="40"/>
              <w:contextualSpacing/>
              <w:rPr>
                <w:rFonts w:ascii="Verdana" w:hAnsi="Verdana"/>
              </w:rPr>
            </w:pPr>
          </w:p>
        </w:tc>
        <w:tc>
          <w:tcPr>
            <w:tcW w:w="1843" w:type="dxa"/>
          </w:tcPr>
          <w:p w:rsidR="00F74F72" w:rsidRPr="007B48AE" w:rsidRDefault="00F74F72" w:rsidP="003709F0">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Проценты к уплате</w:t>
            </w:r>
          </w:p>
        </w:tc>
        <w:tc>
          <w:tcPr>
            <w:tcW w:w="12984" w:type="dxa"/>
            <w:gridSpan w:val="2"/>
          </w:tcPr>
          <w:tbl>
            <w:tblPr>
              <w:tblW w:w="4996" w:type="pct"/>
              <w:tblInd w:w="9" w:type="dxa"/>
              <w:tblLook w:val="04A0" w:firstRow="1" w:lastRow="0" w:firstColumn="1" w:lastColumn="0" w:noHBand="0" w:noVBand="1"/>
            </w:tblPr>
            <w:tblGrid>
              <w:gridCol w:w="704"/>
              <w:gridCol w:w="12054"/>
            </w:tblGrid>
            <w:tr w:rsidR="00F74F72" w:rsidRPr="007B48AE" w:rsidTr="003709F0">
              <w:trPr>
                <w:trHeight w:val="630"/>
              </w:trPr>
              <w:tc>
                <w:tcPr>
                  <w:tcW w:w="276" w:type="pct"/>
                  <w:shd w:val="clear" w:color="000000" w:fill="FFFFFF"/>
                  <w:hideMark/>
                </w:tcPr>
                <w:p w:rsidR="00F74F72" w:rsidRPr="007B48AE" w:rsidRDefault="00F74F72" w:rsidP="003709F0">
                  <w:pPr>
                    <w:spacing w:after="0" w:line="300" w:lineRule="auto"/>
                    <w:contextualSpacing/>
                    <w:rPr>
                      <w:rFonts w:ascii="Verdana" w:eastAsia="Times New Roman" w:hAnsi="Verdana" w:cs="Calibri"/>
                      <w:b/>
                      <w:bCs/>
                      <w:color w:val="000000"/>
                      <w:lang w:eastAsia="ru-RU"/>
                    </w:rPr>
                  </w:pPr>
                  <w:r w:rsidRPr="007B48AE">
                    <w:rPr>
                      <w:rFonts w:ascii="Verdana" w:hAnsi="Verdana"/>
                      <w:iCs/>
                    </w:rPr>
                    <w:t>(+)</w:t>
                  </w:r>
                </w:p>
              </w:tc>
              <w:tc>
                <w:tcPr>
                  <w:tcW w:w="4724"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Строка 2330 Отчета о финансовых результатах «Проценты к уплате», рассчитывается за период, равный 12 месяцам, предшествующим Актуальной дате;</w:t>
                  </w:r>
                </w:p>
              </w:tc>
            </w:tr>
            <w:tr w:rsidR="00F74F72" w:rsidRPr="007B48AE" w:rsidTr="003709F0">
              <w:trPr>
                <w:trHeight w:val="56"/>
              </w:trPr>
              <w:tc>
                <w:tcPr>
                  <w:tcW w:w="276" w:type="pct"/>
                  <w:shd w:val="clear" w:color="000000" w:fill="FFFFFF"/>
                </w:tcPr>
                <w:p w:rsidR="00F74F72" w:rsidRPr="007B48AE" w:rsidRDefault="00F74F72" w:rsidP="003709F0">
                  <w:pPr>
                    <w:spacing w:after="0" w:line="300" w:lineRule="auto"/>
                    <w:contextualSpacing/>
                    <w:rPr>
                      <w:rFonts w:ascii="Verdana" w:eastAsia="Times New Roman" w:hAnsi="Verdana" w:cs="Calibri"/>
                      <w:b/>
                      <w:bCs/>
                      <w:color w:val="000000"/>
                      <w:lang w:eastAsia="ru-RU"/>
                    </w:rPr>
                  </w:pPr>
                </w:p>
              </w:tc>
              <w:tc>
                <w:tcPr>
                  <w:tcW w:w="4724" w:type="pct"/>
                  <w:shd w:val="clear" w:color="000000" w:fill="FFFFFF"/>
                </w:tcPr>
                <w:p w:rsidR="00F74F72" w:rsidRPr="008F329C" w:rsidRDefault="00F74F72" w:rsidP="003709F0">
                  <w:pPr>
                    <w:spacing w:after="0" w:line="300" w:lineRule="auto"/>
                    <w:contextualSpacing/>
                    <w:jc w:val="both"/>
                    <w:rPr>
                      <w:rFonts w:ascii="Verdana" w:eastAsia="Times New Roman" w:hAnsi="Verdana"/>
                      <w:szCs w:val="24"/>
                      <w:lang w:eastAsia="ru-RU"/>
                    </w:rPr>
                  </w:pPr>
                </w:p>
              </w:tc>
            </w:tr>
            <w:tr w:rsidR="00F74F72" w:rsidRPr="007B48AE" w:rsidTr="003709F0">
              <w:trPr>
                <w:trHeight w:val="56"/>
              </w:trPr>
              <w:tc>
                <w:tcPr>
                  <w:tcW w:w="276" w:type="pct"/>
                  <w:shd w:val="clear" w:color="000000" w:fill="FFFFFF"/>
                  <w:hideMark/>
                </w:tcPr>
                <w:p w:rsidR="00F74F72" w:rsidRPr="007B48AE" w:rsidRDefault="00F74F72" w:rsidP="003709F0">
                  <w:pPr>
                    <w:spacing w:after="0" w:line="300" w:lineRule="auto"/>
                    <w:contextualSpacing/>
                    <w:rPr>
                      <w:rFonts w:ascii="Verdana" w:eastAsia="Times New Roman" w:hAnsi="Verdana" w:cs="Calibri"/>
                      <w:b/>
                      <w:bCs/>
                      <w:color w:val="000000"/>
                      <w:lang w:eastAsia="ru-RU"/>
                    </w:rPr>
                  </w:pPr>
                  <w:r w:rsidRPr="007B48AE">
                    <w:rPr>
                      <w:rFonts w:ascii="Verdana" w:hAnsi="Verdana"/>
                      <w:iCs/>
                    </w:rPr>
                    <w:t>(+)</w:t>
                  </w:r>
                </w:p>
              </w:tc>
              <w:tc>
                <w:tcPr>
                  <w:tcW w:w="4724" w:type="pct"/>
                  <w:shd w:val="clear" w:color="000000" w:fill="FFFFFF"/>
                  <w:hideMark/>
                </w:tcPr>
                <w:p w:rsidR="00F74F72" w:rsidRPr="008F329C" w:rsidRDefault="00F74F72" w:rsidP="003709F0">
                  <w:pPr>
                    <w:spacing w:after="0" w:line="300" w:lineRule="auto"/>
                    <w:contextualSpacing/>
                    <w:jc w:val="both"/>
                    <w:rPr>
                      <w:rFonts w:ascii="Verdana" w:hAnsi="Verdana"/>
                      <w:iCs/>
                    </w:rPr>
                  </w:pPr>
                  <w:r w:rsidRPr="008F329C">
                    <w:rPr>
                      <w:rFonts w:ascii="Verdana" w:hAnsi="Verdana"/>
                      <w:iCs/>
                    </w:rPr>
                    <w:t>Сумма процентов к уплате, рассчитанная за период, равный 12 месяцам из расчета полного использования лимита по заключенному (заключаемому) кредитному договору, договору займа, обеспечиваемого Независимой гарантией Корпорации</w:t>
                  </w:r>
                  <w:r w:rsidRPr="006D328A">
                    <w:rPr>
                      <w:rFonts w:ascii="Verdana" w:hAnsi="Verdana"/>
                      <w:vertAlign w:val="superscript"/>
                    </w:rPr>
                    <w:t>1</w:t>
                  </w:r>
                  <w:r w:rsidRPr="008F329C">
                    <w:rPr>
                      <w:rFonts w:ascii="Verdana" w:hAnsi="Verdana"/>
                      <w:iCs/>
                    </w:rPr>
                    <w:t>;</w:t>
                  </w:r>
                </w:p>
              </w:tc>
            </w:tr>
            <w:tr w:rsidR="00F74F72" w:rsidRPr="007B48AE" w:rsidTr="003709F0">
              <w:trPr>
                <w:trHeight w:val="56"/>
              </w:trPr>
              <w:tc>
                <w:tcPr>
                  <w:tcW w:w="276" w:type="pct"/>
                  <w:shd w:val="clear" w:color="000000" w:fill="FFFFFF"/>
                  <w:hideMark/>
                </w:tcPr>
                <w:p w:rsidR="00F74F72" w:rsidRPr="007B48AE" w:rsidRDefault="00F74F72" w:rsidP="003709F0">
                  <w:pPr>
                    <w:spacing w:after="0" w:line="300" w:lineRule="auto"/>
                    <w:contextualSpacing/>
                    <w:rPr>
                      <w:rFonts w:ascii="Verdana" w:eastAsia="Times New Roman" w:hAnsi="Verdana" w:cs="Calibri"/>
                      <w:b/>
                      <w:bCs/>
                      <w:color w:val="000000"/>
                      <w:lang w:eastAsia="ru-RU"/>
                    </w:rPr>
                  </w:pPr>
                  <w:r w:rsidRPr="007B48AE">
                    <w:rPr>
                      <w:rFonts w:ascii="Verdana" w:hAnsi="Verdana"/>
                      <w:iCs/>
                    </w:rPr>
                    <w:t>(+)</w:t>
                  </w:r>
                </w:p>
              </w:tc>
              <w:tc>
                <w:tcPr>
                  <w:tcW w:w="4724"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Сумма комиссионного вознаграждения по Независимой гарантии Корпорации, рассчитанная за период, равный 12 месяцам;</w:t>
                  </w:r>
                </w:p>
              </w:tc>
            </w:tr>
            <w:tr w:rsidR="00F74F72" w:rsidRPr="007B48AE" w:rsidTr="003709F0">
              <w:trPr>
                <w:trHeight w:val="700"/>
              </w:trPr>
              <w:tc>
                <w:tcPr>
                  <w:tcW w:w="276" w:type="pct"/>
                  <w:shd w:val="clear" w:color="000000" w:fill="FFFFFF"/>
                  <w:hideMark/>
                </w:tcPr>
                <w:p w:rsidR="00F74F72" w:rsidRPr="007B48AE" w:rsidRDefault="00F74F72" w:rsidP="003709F0">
                  <w:pPr>
                    <w:spacing w:after="0" w:line="300" w:lineRule="auto"/>
                    <w:contextualSpacing/>
                    <w:rPr>
                      <w:rFonts w:ascii="Verdana" w:eastAsia="Times New Roman" w:hAnsi="Verdana" w:cs="Calibri"/>
                      <w:b/>
                      <w:bCs/>
                      <w:color w:val="000000"/>
                      <w:lang w:eastAsia="ru-RU"/>
                    </w:rPr>
                  </w:pPr>
                  <w:r w:rsidRPr="007B48AE">
                    <w:rPr>
                      <w:rFonts w:ascii="Verdana" w:eastAsia="Times New Roman" w:hAnsi="Verdana" w:cs="Calibri"/>
                      <w:color w:val="000000"/>
                      <w:lang w:eastAsia="ru-RU"/>
                    </w:rPr>
                    <w:t>(−)</w:t>
                  </w:r>
                </w:p>
              </w:tc>
              <w:tc>
                <w:tcPr>
                  <w:tcW w:w="4724"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Сумма процентов к уплате по Субординированной задолженности, рассчитанная за период, равный 12 месяцам, предшествующим Актуальной дате.</w:t>
                  </w:r>
                </w:p>
              </w:tc>
            </w:tr>
          </w:tbl>
          <w:p w:rsidR="00F74F72" w:rsidRPr="007B48AE" w:rsidRDefault="00F74F72" w:rsidP="003709F0">
            <w:pPr>
              <w:spacing w:after="0" w:line="300" w:lineRule="auto"/>
              <w:contextualSpacing/>
              <w:jc w:val="both"/>
              <w:rPr>
                <w:rFonts w:ascii="Verdana" w:eastAsia="Times New Roman" w:hAnsi="Verdana" w:cs="Calibri"/>
                <w:color w:val="000000"/>
                <w:lang w:eastAsia="ru-RU"/>
              </w:rPr>
            </w:pPr>
            <w:r w:rsidRPr="007B48AE">
              <w:rPr>
                <w:rFonts w:ascii="Verdana" w:hAnsi="Verdana"/>
                <w:iCs/>
              </w:rPr>
              <w:t>Корпорация, руководствуясь внутренней нормативной документацией, вправе пересмотреть определенный Финансовой организацией-партнером состав участников Группы</w:t>
            </w:r>
            <w:r>
              <w:rPr>
                <w:rFonts w:ascii="Verdana" w:hAnsi="Verdana"/>
                <w:iCs/>
              </w:rPr>
              <w:t>, бухгалтерская отчётность которых использовалась для расчета Показателя</w:t>
            </w:r>
            <w:r w:rsidRPr="007B48AE">
              <w:rPr>
                <w:rFonts w:ascii="Verdana" w:hAnsi="Verdana"/>
                <w:iCs/>
              </w:rPr>
              <w:t>, а также компонент</w:t>
            </w:r>
            <w:r>
              <w:rPr>
                <w:rFonts w:ascii="Verdana" w:hAnsi="Verdana"/>
                <w:iCs/>
              </w:rPr>
              <w:t>ов</w:t>
            </w:r>
            <w:r w:rsidRPr="007B48AE">
              <w:rPr>
                <w:rFonts w:ascii="Verdana" w:hAnsi="Verdana"/>
                <w:iCs/>
              </w:rPr>
              <w:t>, в том числе (но не ограничиваясь):</w:t>
            </w:r>
            <w:r w:rsidRPr="007B48AE">
              <w:rPr>
                <w:rFonts w:ascii="Verdana" w:eastAsia="Times New Roman" w:hAnsi="Verdana" w:cs="Calibri"/>
                <w:color w:val="000000"/>
                <w:lang w:eastAsia="ru-RU"/>
              </w:rPr>
              <w:t xml:space="preserve"> </w:t>
            </w:r>
          </w:p>
          <w:tbl>
            <w:tblPr>
              <w:tblW w:w="4996" w:type="pct"/>
              <w:tblInd w:w="9" w:type="dxa"/>
              <w:tblLook w:val="04A0" w:firstRow="1" w:lastRow="0" w:firstColumn="1" w:lastColumn="0" w:noHBand="0" w:noVBand="1"/>
            </w:tblPr>
            <w:tblGrid>
              <w:gridCol w:w="704"/>
              <w:gridCol w:w="12054"/>
            </w:tblGrid>
            <w:tr w:rsidR="00F74F72" w:rsidRPr="007B48AE" w:rsidTr="003709F0">
              <w:trPr>
                <w:trHeight w:val="630"/>
              </w:trPr>
              <w:tc>
                <w:tcPr>
                  <w:tcW w:w="276" w:type="pct"/>
                  <w:shd w:val="clear" w:color="000000" w:fill="FFFFFF"/>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4724" w:type="pct"/>
                  <w:shd w:val="clear" w:color="000000" w:fill="FFFFFF"/>
                </w:tcPr>
                <w:p w:rsidR="00F74F72" w:rsidRPr="007B48AE" w:rsidRDefault="00F74F72" w:rsidP="003709F0">
                  <w:pPr>
                    <w:spacing w:after="0" w:line="300" w:lineRule="auto"/>
                    <w:contextualSpacing/>
                    <w:jc w:val="both"/>
                    <w:rPr>
                      <w:rFonts w:ascii="Verdana" w:eastAsia="Times New Roman" w:hAnsi="Verdana" w:cs="Calibri"/>
                      <w:color w:val="000000"/>
                      <w:lang w:eastAsia="ru-RU"/>
                    </w:rPr>
                  </w:pPr>
                  <w:r>
                    <w:rPr>
                      <w:rFonts w:ascii="Verdana" w:eastAsia="Times New Roman" w:hAnsi="Verdana" w:cs="Calibri"/>
                      <w:color w:val="000000"/>
                      <w:lang w:eastAsia="ru-RU"/>
                    </w:rPr>
                    <w:t>Расчетная с</w:t>
                  </w:r>
                  <w:r w:rsidRPr="007B48AE">
                    <w:rPr>
                      <w:rFonts w:ascii="Verdana" w:eastAsia="Times New Roman" w:hAnsi="Verdana" w:cs="Calibri"/>
                      <w:color w:val="000000"/>
                      <w:lang w:eastAsia="ru-RU"/>
                    </w:rPr>
                    <w:t xml:space="preserve">умма процентов к уплате </w:t>
                  </w:r>
                  <w:r>
                    <w:rPr>
                      <w:rFonts w:ascii="Verdana" w:eastAsia="Times New Roman" w:hAnsi="Verdana" w:cs="Calibri"/>
                      <w:color w:val="000000"/>
                      <w:lang w:eastAsia="ru-RU"/>
                    </w:rPr>
                    <w:t>по неиспользованным</w:t>
                  </w:r>
                  <w:r w:rsidRPr="007B48AE">
                    <w:rPr>
                      <w:rFonts w:ascii="Verdana" w:eastAsia="Times New Roman" w:hAnsi="Verdana" w:cs="Calibri"/>
                      <w:color w:val="000000"/>
                      <w:lang w:eastAsia="ru-RU"/>
                    </w:rPr>
                    <w:t xml:space="preserve"> </w:t>
                  </w:r>
                  <w:r>
                    <w:rPr>
                      <w:rFonts w:ascii="Verdana" w:eastAsia="Times New Roman" w:hAnsi="Verdana" w:cs="Calibri"/>
                      <w:color w:val="000000"/>
                      <w:lang w:eastAsia="ru-RU"/>
                    </w:rPr>
                    <w:t>лимитам</w:t>
                  </w:r>
                  <w:r w:rsidRPr="007B48AE">
                    <w:rPr>
                      <w:rFonts w:ascii="Verdana" w:eastAsia="Times New Roman" w:hAnsi="Verdana" w:cs="Calibri"/>
                      <w:color w:val="000000"/>
                      <w:lang w:eastAsia="ru-RU"/>
                    </w:rPr>
                    <w:t xml:space="preserve"> по </w:t>
                  </w:r>
                  <w:r>
                    <w:rPr>
                      <w:rFonts w:ascii="Verdana" w:eastAsia="Times New Roman" w:hAnsi="Verdana" w:cs="Calibri"/>
                      <w:color w:val="000000"/>
                      <w:lang w:eastAsia="ru-RU"/>
                    </w:rPr>
                    <w:t xml:space="preserve">заключенным на актуальную дату </w:t>
                  </w:r>
                  <w:r w:rsidRPr="007B48AE">
                    <w:rPr>
                      <w:rFonts w:ascii="Verdana" w:eastAsia="Times New Roman" w:hAnsi="Verdana" w:cs="Calibri"/>
                      <w:color w:val="000000"/>
                      <w:lang w:eastAsia="ru-RU"/>
                    </w:rPr>
                    <w:t>кредитн</w:t>
                  </w:r>
                  <w:r>
                    <w:rPr>
                      <w:rFonts w:ascii="Verdana" w:eastAsia="Times New Roman" w:hAnsi="Verdana" w:cs="Calibri"/>
                      <w:color w:val="000000"/>
                      <w:lang w:eastAsia="ru-RU"/>
                    </w:rPr>
                    <w:t>ым договорам и договорам займов за период равный 12 мес.</w:t>
                  </w:r>
                  <w:r w:rsidRPr="006D328A">
                    <w:rPr>
                      <w:rFonts w:ascii="Verdana" w:hAnsi="Verdana"/>
                      <w:vertAlign w:val="superscript"/>
                    </w:rPr>
                    <w:t>1</w:t>
                  </w:r>
                  <w:r>
                    <w:rPr>
                      <w:rFonts w:ascii="Verdana" w:eastAsia="Times New Roman" w:hAnsi="Verdana" w:cs="Calibri"/>
                      <w:color w:val="000000"/>
                      <w:lang w:eastAsia="ru-RU"/>
                    </w:rPr>
                    <w:t>;</w:t>
                  </w:r>
                </w:p>
              </w:tc>
            </w:tr>
            <w:tr w:rsidR="00F74F72" w:rsidRPr="007B48AE" w:rsidTr="003709F0">
              <w:trPr>
                <w:trHeight w:val="630"/>
              </w:trPr>
              <w:tc>
                <w:tcPr>
                  <w:tcW w:w="276" w:type="pct"/>
                  <w:shd w:val="clear" w:color="000000" w:fill="FFFFFF"/>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4724" w:type="pct"/>
                  <w:shd w:val="clear" w:color="000000" w:fill="FFFFFF"/>
                </w:tcPr>
                <w:p w:rsidR="00F74F72" w:rsidRPr="007B48AE" w:rsidRDefault="00F74F72" w:rsidP="003709F0">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 xml:space="preserve">Сумма процентов к уплате из расчета полного использования лимитов по кредитным договорам, договорам займов, </w:t>
                  </w:r>
                  <w:r>
                    <w:rPr>
                      <w:rFonts w:ascii="Verdana" w:eastAsia="Times New Roman" w:hAnsi="Verdana" w:cs="Calibri"/>
                      <w:color w:val="000000"/>
                      <w:lang w:eastAsia="ru-RU"/>
                    </w:rPr>
                    <w:t>заключенным</w:t>
                  </w:r>
                  <w:r w:rsidRPr="007B48AE">
                    <w:rPr>
                      <w:rFonts w:ascii="Verdana" w:eastAsia="Times New Roman" w:hAnsi="Verdana" w:cs="Calibri"/>
                      <w:color w:val="000000"/>
                      <w:lang w:eastAsia="ru-RU"/>
                    </w:rPr>
                    <w:t xml:space="preserve"> после Актуальной даты</w:t>
                  </w:r>
                  <w:r w:rsidRPr="006D328A">
                    <w:rPr>
                      <w:rFonts w:ascii="Verdana" w:hAnsi="Verdana"/>
                      <w:vertAlign w:val="superscript"/>
                    </w:rPr>
                    <w:t>1</w:t>
                  </w:r>
                  <w:r w:rsidRPr="007B48AE">
                    <w:rPr>
                      <w:rFonts w:ascii="Verdana" w:eastAsia="Times New Roman" w:hAnsi="Verdana" w:cs="Calibri"/>
                      <w:color w:val="000000"/>
                      <w:lang w:eastAsia="ru-RU"/>
                    </w:rPr>
                    <w:t>;</w:t>
                  </w:r>
                </w:p>
              </w:tc>
            </w:tr>
            <w:tr w:rsidR="00F74F72" w:rsidRPr="007B48AE" w:rsidTr="003709F0">
              <w:trPr>
                <w:trHeight w:val="56"/>
              </w:trPr>
              <w:tc>
                <w:tcPr>
                  <w:tcW w:w="276" w:type="pct"/>
                  <w:shd w:val="clear" w:color="000000" w:fill="FFFFFF"/>
                  <w:hideMark/>
                </w:tcPr>
                <w:p w:rsidR="00F74F72" w:rsidRPr="007B48AE" w:rsidRDefault="00F74F72" w:rsidP="003709F0">
                  <w:pPr>
                    <w:spacing w:after="0" w:line="300" w:lineRule="auto"/>
                    <w:contextualSpacing/>
                    <w:rPr>
                      <w:rFonts w:ascii="Verdana" w:eastAsia="Times New Roman" w:hAnsi="Verdana" w:cs="Calibri"/>
                      <w:b/>
                      <w:bCs/>
                      <w:color w:val="000000"/>
                      <w:lang w:eastAsia="ru-RU"/>
                    </w:rPr>
                  </w:pPr>
                  <w:r w:rsidRPr="007B48AE">
                    <w:rPr>
                      <w:rFonts w:ascii="Verdana" w:eastAsia="Times New Roman" w:hAnsi="Verdana" w:cs="Calibri"/>
                      <w:color w:val="000000"/>
                      <w:lang w:eastAsia="ru-RU"/>
                    </w:rPr>
                    <w:t>(−)</w:t>
                  </w:r>
                </w:p>
              </w:tc>
              <w:tc>
                <w:tcPr>
                  <w:tcW w:w="4724" w:type="pct"/>
                  <w:shd w:val="clear" w:color="000000" w:fill="FFFFFF"/>
                  <w:hideMark/>
                </w:tcPr>
                <w:p w:rsidR="00F74F72" w:rsidRPr="008F329C" w:rsidRDefault="00F74F72" w:rsidP="003709F0">
                  <w:pPr>
                    <w:spacing w:after="0" w:line="300" w:lineRule="auto"/>
                    <w:contextualSpacing/>
                    <w:jc w:val="both"/>
                    <w:rPr>
                      <w:rFonts w:ascii="Verdana" w:hAnsi="Verdana"/>
                      <w:iCs/>
                    </w:rPr>
                  </w:pPr>
                  <w:r w:rsidRPr="008F329C">
                    <w:rPr>
                      <w:rFonts w:ascii="Verdana" w:eastAsia="Times New Roman" w:hAnsi="Verdana" w:cs="Calibri"/>
                      <w:color w:val="000000"/>
                      <w:lang w:eastAsia="ru-RU"/>
                    </w:rPr>
                    <w:t>Сумма процентов к уплате по кредитным договорам, договорам займов, планируемым к рефинансированию/замещению после Актуальной даты;</w:t>
                  </w:r>
                </w:p>
              </w:tc>
            </w:tr>
            <w:tr w:rsidR="00F74F72" w:rsidRPr="007B48AE" w:rsidTr="003709F0">
              <w:trPr>
                <w:trHeight w:val="338"/>
              </w:trPr>
              <w:tc>
                <w:tcPr>
                  <w:tcW w:w="276" w:type="pct"/>
                  <w:shd w:val="clear" w:color="000000" w:fill="FFFFFF"/>
                  <w:hideMark/>
                </w:tcPr>
                <w:p w:rsidR="00F74F72" w:rsidRPr="008F329C" w:rsidRDefault="00F74F72" w:rsidP="003709F0">
                  <w:pPr>
                    <w:spacing w:after="0" w:line="300" w:lineRule="auto"/>
                    <w:contextualSpacing/>
                    <w:rPr>
                      <w:rFonts w:ascii="Verdana" w:eastAsia="Times New Roman" w:hAnsi="Verdana" w:cs="Calibri"/>
                      <w:b/>
                      <w:bCs/>
                      <w:color w:val="000000"/>
                      <w:lang w:eastAsia="ru-RU"/>
                    </w:rPr>
                  </w:pPr>
                  <w:r w:rsidRPr="008F329C">
                    <w:rPr>
                      <w:rFonts w:ascii="Verdana" w:eastAsia="Times New Roman" w:hAnsi="Verdana" w:cs="Calibri"/>
                      <w:color w:val="000000"/>
                      <w:lang w:eastAsia="ru-RU"/>
                    </w:rPr>
                    <w:t>(−)</w:t>
                  </w:r>
                </w:p>
              </w:tc>
              <w:tc>
                <w:tcPr>
                  <w:tcW w:w="4724" w:type="pct"/>
                  <w:shd w:val="clear" w:color="000000" w:fill="FFFFFF"/>
                  <w:hideMark/>
                </w:tcPr>
                <w:p w:rsidR="00F74F72" w:rsidRPr="008F329C" w:rsidRDefault="00F74F72" w:rsidP="003709F0">
                  <w:pPr>
                    <w:spacing w:after="0" w:line="300" w:lineRule="auto"/>
                    <w:contextualSpacing/>
                    <w:jc w:val="both"/>
                    <w:rPr>
                      <w:rFonts w:ascii="Verdana" w:eastAsia="Times New Roman" w:hAnsi="Verdana" w:cs="Calibri"/>
                      <w:color w:val="000000"/>
                      <w:lang w:eastAsia="ru-RU"/>
                    </w:rPr>
                  </w:pPr>
                  <w:r w:rsidRPr="008F329C">
                    <w:rPr>
                      <w:rFonts w:ascii="Verdana" w:eastAsia="Times New Roman" w:hAnsi="Verdana" w:cs="Calibri"/>
                      <w:color w:val="000000"/>
                      <w:lang w:eastAsia="ru-RU"/>
                    </w:rPr>
                    <w:t>Сумма процентов к уплате по кредитным договорам, договорам займов, погашенных после Актуальной даты;</w:t>
                  </w:r>
                </w:p>
              </w:tc>
            </w:tr>
            <w:tr w:rsidR="00F74F72" w:rsidRPr="007B48AE" w:rsidTr="003709F0">
              <w:trPr>
                <w:trHeight w:val="338"/>
              </w:trPr>
              <w:tc>
                <w:tcPr>
                  <w:tcW w:w="276" w:type="pct"/>
                  <w:shd w:val="clear" w:color="000000" w:fill="FFFFFF"/>
                </w:tcPr>
                <w:p w:rsidR="00F74F72" w:rsidRPr="00E72069" w:rsidRDefault="00F74F72" w:rsidP="003709F0">
                  <w:pPr>
                    <w:spacing w:after="0" w:line="300" w:lineRule="auto"/>
                    <w:contextualSpacing/>
                    <w:rPr>
                      <w:rFonts w:ascii="Verdana" w:eastAsia="Times New Roman" w:hAnsi="Verdana" w:cs="Calibri"/>
                      <w:color w:val="000000"/>
                      <w:lang w:eastAsia="ru-RU"/>
                    </w:rPr>
                  </w:pPr>
                  <w:r w:rsidRPr="00E72069">
                    <w:rPr>
                      <w:rFonts w:ascii="Verdana" w:hAnsi="Verdana"/>
                      <w:iCs/>
                    </w:rPr>
                    <w:t>(+)</w:t>
                  </w:r>
                </w:p>
              </w:tc>
              <w:tc>
                <w:tcPr>
                  <w:tcW w:w="4724" w:type="pct"/>
                  <w:shd w:val="clear" w:color="000000" w:fill="FFFFFF"/>
                </w:tcPr>
                <w:p w:rsidR="00F74F72" w:rsidRPr="00E72069" w:rsidRDefault="00F74F72" w:rsidP="003709F0">
                  <w:pPr>
                    <w:spacing w:after="0" w:line="300" w:lineRule="auto"/>
                    <w:contextualSpacing/>
                    <w:jc w:val="both"/>
                    <w:rPr>
                      <w:rFonts w:ascii="Verdana" w:eastAsia="Times New Roman" w:hAnsi="Verdana" w:cs="Calibri"/>
                      <w:color w:val="000000"/>
                      <w:lang w:eastAsia="ru-RU"/>
                    </w:rPr>
                  </w:pPr>
                  <w:r w:rsidRPr="00E72069">
                    <w:rPr>
                      <w:rFonts w:ascii="Verdana" w:eastAsia="Times New Roman" w:hAnsi="Verdana" w:cs="Calibri"/>
                      <w:color w:val="000000"/>
                      <w:lang w:eastAsia="ru-RU"/>
                    </w:rPr>
                    <w:t>Сумма комиссионного вознаграждения по банковским гарантиям</w:t>
                  </w:r>
                  <w:r>
                    <w:rPr>
                      <w:rFonts w:ascii="Verdana" w:eastAsia="Times New Roman" w:hAnsi="Verdana" w:cs="Calibri"/>
                      <w:color w:val="000000"/>
                      <w:lang w:eastAsia="ru-RU"/>
                    </w:rPr>
                    <w:t>.</w:t>
                  </w:r>
                </w:p>
              </w:tc>
            </w:tr>
          </w:tbl>
          <w:p w:rsidR="00F74F72" w:rsidRPr="007B48AE" w:rsidRDefault="00F74F72" w:rsidP="003709F0">
            <w:pPr>
              <w:spacing w:after="0" w:line="300" w:lineRule="auto"/>
              <w:contextualSpacing/>
              <w:jc w:val="both"/>
              <w:rPr>
                <w:rFonts w:ascii="Verdana" w:eastAsia="Times New Roman" w:hAnsi="Verdana" w:cs="Calibri"/>
                <w:color w:val="000000"/>
                <w:lang w:eastAsia="ru-RU"/>
              </w:rPr>
            </w:pPr>
          </w:p>
        </w:tc>
      </w:tr>
      <w:tr w:rsidR="00F74F72" w:rsidRPr="007B48AE" w:rsidTr="003709F0">
        <w:trPr>
          <w:gridAfter w:val="1"/>
          <w:wAfter w:w="20" w:type="dxa"/>
          <w:trHeight w:val="1982"/>
        </w:trPr>
        <w:tc>
          <w:tcPr>
            <w:tcW w:w="541" w:type="dxa"/>
          </w:tcPr>
          <w:p w:rsidR="00F74F72" w:rsidRPr="007B48AE" w:rsidRDefault="00F74F72" w:rsidP="00F74F72">
            <w:pPr>
              <w:pStyle w:val="af5"/>
              <w:numPr>
                <w:ilvl w:val="0"/>
                <w:numId w:val="18"/>
              </w:numPr>
              <w:tabs>
                <w:tab w:val="left" w:pos="1418"/>
              </w:tabs>
              <w:autoSpaceDE w:val="0"/>
              <w:autoSpaceDN w:val="0"/>
              <w:spacing w:line="300" w:lineRule="auto"/>
              <w:ind w:right="40"/>
              <w:contextualSpacing/>
              <w:rPr>
                <w:rFonts w:ascii="Verdana" w:hAnsi="Verdana"/>
              </w:rPr>
            </w:pPr>
          </w:p>
        </w:tc>
        <w:tc>
          <w:tcPr>
            <w:tcW w:w="1843" w:type="dxa"/>
          </w:tcPr>
          <w:p w:rsidR="00F74F72" w:rsidRPr="007B48AE" w:rsidRDefault="00F74F72" w:rsidP="003709F0">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EBITDA</w:t>
            </w:r>
          </w:p>
        </w:tc>
        <w:tc>
          <w:tcPr>
            <w:tcW w:w="12984" w:type="dxa"/>
            <w:gridSpan w:val="2"/>
          </w:tcPr>
          <w:tbl>
            <w:tblPr>
              <w:tblW w:w="5000" w:type="pct"/>
              <w:tblLook w:val="04A0" w:firstRow="1" w:lastRow="0" w:firstColumn="1" w:lastColumn="0" w:noHBand="0" w:noVBand="1"/>
            </w:tblPr>
            <w:tblGrid>
              <w:gridCol w:w="718"/>
              <w:gridCol w:w="12050"/>
            </w:tblGrid>
            <w:tr w:rsidR="00F74F72" w:rsidRPr="007B48AE" w:rsidTr="003709F0">
              <w:trPr>
                <w:trHeight w:val="56"/>
              </w:trPr>
              <w:tc>
                <w:tcPr>
                  <w:tcW w:w="281" w:type="pct"/>
                  <w:shd w:val="clear" w:color="000000" w:fill="FFFFFF"/>
                  <w:hideMark/>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4719"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Строка 2300 Отчета о финансовых результатах «Прибыль (убыток) до налогообложения»;</w:t>
                  </w:r>
                </w:p>
              </w:tc>
            </w:tr>
            <w:tr w:rsidR="00F74F72" w:rsidRPr="007B48AE" w:rsidTr="003709F0">
              <w:trPr>
                <w:trHeight w:val="282"/>
              </w:trPr>
              <w:tc>
                <w:tcPr>
                  <w:tcW w:w="281" w:type="pct"/>
                  <w:shd w:val="clear" w:color="000000" w:fill="FFFFFF"/>
                  <w:hideMark/>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4719"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Строка 2330 Отчета о финансовых результатах «Проценты к уплате»;</w:t>
                  </w:r>
                </w:p>
              </w:tc>
            </w:tr>
            <w:tr w:rsidR="00F74F72" w:rsidRPr="007B48AE" w:rsidTr="003709F0">
              <w:trPr>
                <w:trHeight w:val="56"/>
              </w:trPr>
              <w:tc>
                <w:tcPr>
                  <w:tcW w:w="281" w:type="pct"/>
                  <w:shd w:val="clear" w:color="000000" w:fill="FFFFFF"/>
                  <w:hideMark/>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4719"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 xml:space="preserve">Сумма амортизационных отчислений </w:t>
                  </w:r>
                  <w:r>
                    <w:rPr>
                      <w:rFonts w:ascii="Verdana" w:hAnsi="Verdana"/>
                      <w:iCs/>
                    </w:rPr>
                    <w:t xml:space="preserve">согласно </w:t>
                  </w:r>
                  <w:r w:rsidRPr="007B48AE">
                    <w:rPr>
                      <w:rFonts w:ascii="Verdana" w:hAnsi="Verdana"/>
                      <w:iCs/>
                    </w:rPr>
                    <w:t>стр. 5640 пояснений к бухгалтерскому балансу и отчету о финансовых результатах или бухгалтерск</w:t>
                  </w:r>
                  <w:r>
                    <w:rPr>
                      <w:rFonts w:ascii="Verdana" w:hAnsi="Verdana"/>
                      <w:iCs/>
                    </w:rPr>
                    <w:t>ой</w:t>
                  </w:r>
                  <w:r w:rsidRPr="007B48AE">
                    <w:rPr>
                      <w:rFonts w:ascii="Verdana" w:hAnsi="Verdana"/>
                      <w:iCs/>
                    </w:rPr>
                    <w:t xml:space="preserve"> справк</w:t>
                  </w:r>
                  <w:r>
                    <w:rPr>
                      <w:rFonts w:ascii="Verdana" w:hAnsi="Verdana"/>
                      <w:iCs/>
                    </w:rPr>
                    <w:t>е</w:t>
                  </w:r>
                  <w:r w:rsidRPr="007B48AE">
                    <w:rPr>
                      <w:rFonts w:ascii="Verdana" w:hAnsi="Verdana"/>
                      <w:iCs/>
                    </w:rPr>
                    <w:t xml:space="preserve"> о произведенных амортизационных отчислениях за период, равный 12 месяцам, предшествующим Актуальной дате;</w:t>
                  </w:r>
                </w:p>
              </w:tc>
            </w:tr>
            <w:tr w:rsidR="00F74F72" w:rsidRPr="007B48AE" w:rsidTr="003709F0">
              <w:trPr>
                <w:trHeight w:val="56"/>
              </w:trPr>
              <w:tc>
                <w:tcPr>
                  <w:tcW w:w="281" w:type="pct"/>
                  <w:shd w:val="clear" w:color="000000" w:fill="FFFFFF"/>
                  <w:hideMark/>
                </w:tcPr>
                <w:p w:rsidR="00F74F72" w:rsidRPr="007B48AE" w:rsidRDefault="00F74F72" w:rsidP="003709F0">
                  <w:pPr>
                    <w:spacing w:after="0" w:line="300" w:lineRule="auto"/>
                    <w:contextualSpacing/>
                    <w:rPr>
                      <w:rFonts w:ascii="Verdana" w:hAnsi="Verdana"/>
                      <w:iCs/>
                    </w:rPr>
                  </w:pPr>
                  <w:r w:rsidRPr="007B48AE">
                    <w:rPr>
                      <w:rFonts w:ascii="Verdana" w:eastAsia="Times New Roman" w:hAnsi="Verdana" w:cs="Calibri"/>
                      <w:color w:val="000000"/>
                      <w:lang w:eastAsia="ru-RU"/>
                    </w:rPr>
                    <w:t>(−)</w:t>
                  </w:r>
                </w:p>
              </w:tc>
              <w:tc>
                <w:tcPr>
                  <w:tcW w:w="4719"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Строка 2320 Отчета о финансовых результатах «Проценты к получению»;</w:t>
                  </w:r>
                </w:p>
              </w:tc>
            </w:tr>
          </w:tbl>
          <w:p w:rsidR="00F74F72" w:rsidRPr="007B48AE" w:rsidRDefault="00F74F72" w:rsidP="003709F0">
            <w:pPr>
              <w:spacing w:after="0" w:line="300" w:lineRule="auto"/>
              <w:contextualSpacing/>
              <w:jc w:val="both"/>
              <w:rPr>
                <w:rFonts w:ascii="Verdana" w:hAnsi="Verdana"/>
                <w:iCs/>
              </w:rPr>
            </w:pPr>
            <w:r w:rsidRPr="007B48AE">
              <w:rPr>
                <w:rFonts w:ascii="Verdana" w:hAnsi="Verdana"/>
                <w:iCs/>
              </w:rPr>
              <w:t>Корпорация, руководствуясь внутренней нормативной документацией, вправе пересмотреть определенный Финансовой организацией-партнером состав участников Группы</w:t>
            </w:r>
            <w:r>
              <w:rPr>
                <w:rFonts w:ascii="Verdana" w:hAnsi="Verdana"/>
                <w:iCs/>
              </w:rPr>
              <w:t>, бухгалтерская отчётность которых использовалась для расчета Показателя</w:t>
            </w:r>
            <w:r w:rsidRPr="007B48AE">
              <w:rPr>
                <w:rFonts w:ascii="Verdana" w:hAnsi="Verdana"/>
                <w:iCs/>
              </w:rPr>
              <w:t>, а также компонент</w:t>
            </w:r>
            <w:r>
              <w:rPr>
                <w:rFonts w:ascii="Verdana" w:hAnsi="Verdana"/>
                <w:iCs/>
              </w:rPr>
              <w:t>ов</w:t>
            </w:r>
            <w:r w:rsidRPr="007B48AE">
              <w:rPr>
                <w:rFonts w:ascii="Verdana" w:hAnsi="Verdana"/>
                <w:iCs/>
              </w:rPr>
              <w:t>, в том числе (но не ограничиваясь):</w:t>
            </w:r>
          </w:p>
          <w:tbl>
            <w:tblPr>
              <w:tblW w:w="5000" w:type="pct"/>
              <w:tblLook w:val="04A0" w:firstRow="1" w:lastRow="0" w:firstColumn="1" w:lastColumn="0" w:noHBand="0" w:noVBand="1"/>
            </w:tblPr>
            <w:tblGrid>
              <w:gridCol w:w="1185"/>
              <w:gridCol w:w="11583"/>
            </w:tblGrid>
            <w:tr w:rsidR="00F74F72" w:rsidRPr="007B48AE" w:rsidTr="003709F0">
              <w:trPr>
                <w:trHeight w:val="56"/>
              </w:trPr>
              <w:tc>
                <w:tcPr>
                  <w:tcW w:w="464" w:type="pct"/>
                  <w:shd w:val="clear" w:color="000000" w:fill="FFFFFF"/>
                </w:tcPr>
                <w:p w:rsidR="00F74F72" w:rsidRPr="007B48AE" w:rsidRDefault="00F74F72" w:rsidP="003709F0">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w:t>
                  </w:r>
                  <w:r w:rsidRPr="007B48AE">
                    <w:rPr>
                      <w:rFonts w:ascii="Verdana" w:eastAsia="Times New Roman" w:hAnsi="Verdana" w:cs="Calibri"/>
                      <w:color w:val="000000"/>
                      <w:lang w:eastAsia="ru-RU"/>
                    </w:rPr>
                    <w:t>)</w:t>
                  </w:r>
                </w:p>
              </w:tc>
              <w:tc>
                <w:tcPr>
                  <w:tcW w:w="4536" w:type="pct"/>
                  <w:shd w:val="clear" w:color="000000" w:fill="FFFFFF"/>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Доходы (расходы) от курсовой разницы;</w:t>
                  </w:r>
                </w:p>
              </w:tc>
            </w:tr>
            <w:tr w:rsidR="00F74F72" w:rsidRPr="007B48AE" w:rsidTr="003709F0">
              <w:trPr>
                <w:trHeight w:val="56"/>
              </w:trPr>
              <w:tc>
                <w:tcPr>
                  <w:tcW w:w="464" w:type="pct"/>
                  <w:shd w:val="clear" w:color="000000" w:fill="FFFFFF"/>
                </w:tcPr>
                <w:p w:rsidR="00F74F72" w:rsidRPr="007B48AE" w:rsidRDefault="00F74F72" w:rsidP="003709F0">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p>
              </w:tc>
              <w:tc>
                <w:tcPr>
                  <w:tcW w:w="4536" w:type="pct"/>
                  <w:shd w:val="clear" w:color="000000" w:fill="FFFFFF"/>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Доходы от участия в других организациях;</w:t>
                  </w:r>
                </w:p>
              </w:tc>
            </w:tr>
            <w:tr w:rsidR="00F74F72" w:rsidRPr="007B48AE" w:rsidTr="003709F0">
              <w:trPr>
                <w:trHeight w:val="56"/>
              </w:trPr>
              <w:tc>
                <w:tcPr>
                  <w:tcW w:w="464" w:type="pct"/>
                  <w:shd w:val="clear" w:color="000000" w:fill="FFFFFF"/>
                </w:tcPr>
                <w:p w:rsidR="00F74F72" w:rsidRPr="007B48AE" w:rsidRDefault="00F74F72" w:rsidP="003709F0">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p>
              </w:tc>
              <w:tc>
                <w:tcPr>
                  <w:tcW w:w="4536" w:type="pct"/>
                  <w:shd w:val="clear" w:color="000000" w:fill="FFFFFF"/>
                </w:tcPr>
                <w:p w:rsidR="00F74F72" w:rsidRPr="007B48AE" w:rsidRDefault="00F74F72" w:rsidP="003709F0">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Доходы (расходы) от продажи активов;</w:t>
                  </w:r>
                </w:p>
              </w:tc>
            </w:tr>
            <w:tr w:rsidR="00F74F72" w:rsidRPr="007B48AE" w:rsidTr="003709F0">
              <w:trPr>
                <w:trHeight w:val="56"/>
              </w:trPr>
              <w:tc>
                <w:tcPr>
                  <w:tcW w:w="464" w:type="pct"/>
                  <w:shd w:val="clear" w:color="000000" w:fill="FFFFFF"/>
                </w:tcPr>
                <w:p w:rsidR="00F74F72" w:rsidRPr="007B48AE" w:rsidRDefault="00F74F72" w:rsidP="003709F0">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p>
              </w:tc>
              <w:tc>
                <w:tcPr>
                  <w:tcW w:w="4536" w:type="pct"/>
                  <w:shd w:val="clear" w:color="000000" w:fill="FFFFFF"/>
                </w:tcPr>
                <w:p w:rsidR="00F74F72" w:rsidRPr="007B48AE" w:rsidRDefault="00F74F72" w:rsidP="003709F0">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Государственные субсидии;</w:t>
                  </w:r>
                </w:p>
              </w:tc>
            </w:tr>
            <w:tr w:rsidR="00F74F72" w:rsidRPr="007B48AE" w:rsidTr="003709F0">
              <w:trPr>
                <w:trHeight w:val="56"/>
              </w:trPr>
              <w:tc>
                <w:tcPr>
                  <w:tcW w:w="464" w:type="pct"/>
                  <w:shd w:val="clear" w:color="000000" w:fill="FFFFFF"/>
                </w:tcPr>
                <w:p w:rsidR="00F74F72" w:rsidRPr="007B48AE" w:rsidRDefault="00F74F72" w:rsidP="003709F0">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p>
              </w:tc>
              <w:tc>
                <w:tcPr>
                  <w:tcW w:w="4536" w:type="pct"/>
                  <w:shd w:val="clear" w:color="000000" w:fill="FFFFFF"/>
                </w:tcPr>
                <w:p w:rsidR="00F74F72" w:rsidRPr="007B48AE" w:rsidRDefault="00F74F72" w:rsidP="003709F0">
                  <w:pPr>
                    <w:spacing w:after="0" w:line="300" w:lineRule="auto"/>
                    <w:contextualSpacing/>
                    <w:jc w:val="both"/>
                    <w:rPr>
                      <w:rFonts w:ascii="Verdana" w:eastAsia="Times New Roman" w:hAnsi="Verdana" w:cs="Calibri"/>
                      <w:color w:val="000000"/>
                      <w:lang w:eastAsia="ru-RU"/>
                    </w:rPr>
                  </w:pPr>
                  <w:r w:rsidRPr="007B48AE">
                    <w:rPr>
                      <w:rFonts w:ascii="Verdana" w:hAnsi="Verdana"/>
                      <w:iCs/>
                    </w:rPr>
                    <w:t>Доходы (расходы) от нетипичных операций;</w:t>
                  </w:r>
                </w:p>
              </w:tc>
            </w:tr>
            <w:tr w:rsidR="00F74F72" w:rsidRPr="007B48AE" w:rsidTr="003709F0">
              <w:trPr>
                <w:trHeight w:val="56"/>
              </w:trPr>
              <w:tc>
                <w:tcPr>
                  <w:tcW w:w="464" w:type="pct"/>
                  <w:shd w:val="clear" w:color="000000" w:fill="FFFFFF"/>
                </w:tcPr>
                <w:p w:rsidR="00F74F72" w:rsidRPr="007B48AE" w:rsidRDefault="00F74F72" w:rsidP="003709F0">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p>
              </w:tc>
              <w:tc>
                <w:tcPr>
                  <w:tcW w:w="4536" w:type="pct"/>
                  <w:shd w:val="clear" w:color="000000" w:fill="FFFFFF"/>
                </w:tcPr>
                <w:p w:rsidR="00F74F72" w:rsidRPr="007B48AE" w:rsidRDefault="00F74F72" w:rsidP="003709F0">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Экстраординарные доходы</w:t>
                  </w:r>
                  <w:r>
                    <w:rPr>
                      <w:rFonts w:ascii="Verdana" w:eastAsia="Times New Roman" w:hAnsi="Verdana" w:cs="Calibri"/>
                      <w:color w:val="000000"/>
                      <w:lang w:eastAsia="ru-RU"/>
                    </w:rPr>
                    <w:t xml:space="preserve"> (</w:t>
                  </w:r>
                  <w:r w:rsidRPr="007B48AE">
                    <w:rPr>
                      <w:rFonts w:ascii="Verdana" w:eastAsia="Times New Roman" w:hAnsi="Verdana" w:cs="Calibri"/>
                      <w:color w:val="000000"/>
                      <w:lang w:eastAsia="ru-RU"/>
                    </w:rPr>
                    <w:t>расходы</w:t>
                  </w:r>
                  <w:r>
                    <w:rPr>
                      <w:rFonts w:ascii="Verdana" w:eastAsia="Times New Roman" w:hAnsi="Verdana" w:cs="Calibri"/>
                      <w:color w:val="000000"/>
                      <w:lang w:eastAsia="ru-RU"/>
                    </w:rPr>
                    <w:t>)</w:t>
                  </w:r>
                  <w:r w:rsidRPr="007B48AE">
                    <w:rPr>
                      <w:rFonts w:ascii="Verdana" w:eastAsia="Times New Roman" w:hAnsi="Verdana" w:cs="Calibri"/>
                      <w:color w:val="000000"/>
                      <w:lang w:eastAsia="ru-RU"/>
                    </w:rPr>
                    <w:t>;</w:t>
                  </w:r>
                </w:p>
              </w:tc>
            </w:tr>
            <w:tr w:rsidR="00F74F72" w:rsidRPr="007B48AE" w:rsidTr="003709F0">
              <w:trPr>
                <w:trHeight w:val="56"/>
              </w:trPr>
              <w:tc>
                <w:tcPr>
                  <w:tcW w:w="464" w:type="pct"/>
                  <w:shd w:val="clear" w:color="000000" w:fill="FFFFFF"/>
                </w:tcPr>
                <w:p w:rsidR="00F74F72" w:rsidRPr="007B48AE" w:rsidRDefault="00F74F72" w:rsidP="003709F0">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p>
              </w:tc>
              <w:tc>
                <w:tcPr>
                  <w:tcW w:w="4536" w:type="pct"/>
                  <w:shd w:val="clear" w:color="000000" w:fill="FFFFFF"/>
                </w:tcPr>
                <w:p w:rsidR="00F74F72" w:rsidRPr="007B48AE" w:rsidRDefault="00F74F72" w:rsidP="003709F0">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 xml:space="preserve">Расходы на ликвидацию последствий </w:t>
                  </w:r>
                  <w:r w:rsidRPr="007B48AE">
                    <w:rPr>
                      <w:rFonts w:ascii="Verdana" w:eastAsia="Times New Roman" w:hAnsi="Verdana" w:cs="Calibri"/>
                      <w:bCs/>
                      <w:color w:val="000000"/>
                      <w:lang w:eastAsia="ru-RU"/>
                    </w:rPr>
                    <w:t>чрезвычайных ситуаций</w:t>
                  </w:r>
                  <w:r w:rsidRPr="007B48AE">
                    <w:rPr>
                      <w:rFonts w:ascii="Verdana" w:eastAsia="Times New Roman" w:hAnsi="Verdana" w:cs="Calibri"/>
                      <w:color w:val="000000"/>
                      <w:lang w:eastAsia="ru-RU"/>
                    </w:rPr>
                    <w:t>;</w:t>
                  </w:r>
                </w:p>
              </w:tc>
            </w:tr>
          </w:tbl>
          <w:p w:rsidR="00F74F72" w:rsidRPr="007B48AE" w:rsidRDefault="00F74F72" w:rsidP="003709F0">
            <w:pPr>
              <w:spacing w:after="0" w:line="300" w:lineRule="auto"/>
              <w:contextualSpacing/>
              <w:jc w:val="both"/>
              <w:rPr>
                <w:rFonts w:ascii="Verdana" w:hAnsi="Verdana"/>
                <w:iCs/>
              </w:rPr>
            </w:pPr>
          </w:p>
        </w:tc>
      </w:tr>
      <w:tr w:rsidR="00F74F72" w:rsidRPr="007B48AE" w:rsidTr="003709F0">
        <w:trPr>
          <w:gridAfter w:val="1"/>
          <w:wAfter w:w="20" w:type="dxa"/>
          <w:trHeight w:val="1178"/>
        </w:trPr>
        <w:tc>
          <w:tcPr>
            <w:tcW w:w="541" w:type="dxa"/>
          </w:tcPr>
          <w:p w:rsidR="00F74F72" w:rsidRPr="007B48AE" w:rsidRDefault="00F74F72" w:rsidP="00F74F72">
            <w:pPr>
              <w:pStyle w:val="af5"/>
              <w:numPr>
                <w:ilvl w:val="0"/>
                <w:numId w:val="18"/>
              </w:numPr>
              <w:tabs>
                <w:tab w:val="left" w:pos="1418"/>
              </w:tabs>
              <w:autoSpaceDE w:val="0"/>
              <w:autoSpaceDN w:val="0"/>
              <w:spacing w:line="300" w:lineRule="auto"/>
              <w:ind w:right="40"/>
              <w:contextualSpacing/>
              <w:rPr>
                <w:rFonts w:ascii="Verdana" w:hAnsi="Verdana"/>
              </w:rPr>
            </w:pPr>
          </w:p>
        </w:tc>
        <w:tc>
          <w:tcPr>
            <w:tcW w:w="1843" w:type="dxa"/>
          </w:tcPr>
          <w:p w:rsidR="00F74F72" w:rsidRPr="007B48AE" w:rsidRDefault="00F74F72" w:rsidP="003709F0">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EBIT</w:t>
            </w:r>
          </w:p>
        </w:tc>
        <w:tc>
          <w:tcPr>
            <w:tcW w:w="12984" w:type="dxa"/>
            <w:gridSpan w:val="2"/>
          </w:tcPr>
          <w:tbl>
            <w:tblPr>
              <w:tblW w:w="5000" w:type="pct"/>
              <w:tblLook w:val="04A0" w:firstRow="1" w:lastRow="0" w:firstColumn="1" w:lastColumn="0" w:noHBand="0" w:noVBand="1"/>
            </w:tblPr>
            <w:tblGrid>
              <w:gridCol w:w="618"/>
              <w:gridCol w:w="12150"/>
            </w:tblGrid>
            <w:tr w:rsidR="00F74F72" w:rsidRPr="007B48AE" w:rsidTr="003709F0">
              <w:trPr>
                <w:trHeight w:val="282"/>
              </w:trPr>
              <w:tc>
                <w:tcPr>
                  <w:tcW w:w="242" w:type="pct"/>
                  <w:shd w:val="clear" w:color="000000" w:fill="FFFFFF"/>
                  <w:hideMark/>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4758"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Строка 2300 Отчета о финансовых результатах «Прибыль (убыток) до налогообложения»;</w:t>
                  </w:r>
                </w:p>
              </w:tc>
            </w:tr>
            <w:tr w:rsidR="00F74F72" w:rsidRPr="007B48AE" w:rsidTr="003709F0">
              <w:trPr>
                <w:trHeight w:val="282"/>
              </w:trPr>
              <w:tc>
                <w:tcPr>
                  <w:tcW w:w="242" w:type="pct"/>
                  <w:shd w:val="clear" w:color="000000" w:fill="FFFFFF"/>
                  <w:hideMark/>
                </w:tcPr>
                <w:p w:rsidR="00F74F72" w:rsidRPr="007B48AE" w:rsidRDefault="00F74F72" w:rsidP="003709F0">
                  <w:pPr>
                    <w:spacing w:after="0" w:line="300" w:lineRule="auto"/>
                    <w:contextualSpacing/>
                    <w:rPr>
                      <w:rFonts w:ascii="Verdana" w:hAnsi="Verdana"/>
                      <w:iCs/>
                    </w:rPr>
                  </w:pPr>
                  <w:r w:rsidRPr="007B48AE">
                    <w:rPr>
                      <w:rFonts w:ascii="Verdana" w:hAnsi="Verdana"/>
                      <w:iCs/>
                    </w:rPr>
                    <w:t>(+)</w:t>
                  </w:r>
                </w:p>
              </w:tc>
              <w:tc>
                <w:tcPr>
                  <w:tcW w:w="4758"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Строка 2330 Отчета о финансовых результатах «Проценты к уплате»;</w:t>
                  </w:r>
                </w:p>
              </w:tc>
            </w:tr>
            <w:tr w:rsidR="00F74F72" w:rsidRPr="007B48AE" w:rsidTr="003709F0">
              <w:trPr>
                <w:trHeight w:val="282"/>
              </w:trPr>
              <w:tc>
                <w:tcPr>
                  <w:tcW w:w="242" w:type="pct"/>
                  <w:shd w:val="clear" w:color="000000" w:fill="FFFFFF"/>
                  <w:hideMark/>
                </w:tcPr>
                <w:p w:rsidR="00F74F72" w:rsidRPr="007B48AE" w:rsidRDefault="00F74F72" w:rsidP="003709F0">
                  <w:pPr>
                    <w:spacing w:after="0" w:line="300" w:lineRule="auto"/>
                    <w:contextualSpacing/>
                    <w:rPr>
                      <w:rFonts w:ascii="Verdana" w:hAnsi="Verdana"/>
                      <w:iCs/>
                    </w:rPr>
                  </w:pPr>
                  <w:r w:rsidRPr="007B48AE">
                    <w:rPr>
                      <w:rFonts w:ascii="Verdana" w:eastAsia="Times New Roman" w:hAnsi="Verdana" w:cs="Calibri"/>
                      <w:color w:val="000000"/>
                      <w:lang w:eastAsia="ru-RU"/>
                    </w:rPr>
                    <w:t>(−)</w:t>
                  </w:r>
                </w:p>
              </w:tc>
              <w:tc>
                <w:tcPr>
                  <w:tcW w:w="4758"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Строка 2320 Отчета о финансовых результатах «Проценты к получению»;</w:t>
                  </w:r>
                </w:p>
              </w:tc>
            </w:tr>
          </w:tbl>
          <w:p w:rsidR="00F74F72" w:rsidRPr="007B48AE" w:rsidRDefault="00F74F72" w:rsidP="003709F0">
            <w:pPr>
              <w:spacing w:after="0" w:line="300" w:lineRule="auto"/>
              <w:contextualSpacing/>
              <w:jc w:val="both"/>
              <w:rPr>
                <w:rFonts w:ascii="Verdana" w:hAnsi="Verdana"/>
                <w:iCs/>
              </w:rPr>
            </w:pPr>
            <w:r w:rsidRPr="007B48AE">
              <w:rPr>
                <w:rFonts w:ascii="Verdana" w:hAnsi="Verdana"/>
                <w:iCs/>
              </w:rPr>
              <w:t>Корпорация, руководствуясь внутренней нормативной документацией, вправе пересмотреть определенный Финансовой организацией-партнером состав участников Группы</w:t>
            </w:r>
            <w:r>
              <w:rPr>
                <w:rFonts w:ascii="Verdana" w:hAnsi="Verdana"/>
                <w:iCs/>
              </w:rPr>
              <w:t>, бухгалтерская отчётность которых использовалась для расчета Показателя</w:t>
            </w:r>
            <w:r w:rsidRPr="007B48AE">
              <w:rPr>
                <w:rFonts w:ascii="Verdana" w:hAnsi="Verdana"/>
                <w:iCs/>
              </w:rPr>
              <w:t>, а также компонент</w:t>
            </w:r>
            <w:r>
              <w:rPr>
                <w:rFonts w:ascii="Verdana" w:hAnsi="Verdana"/>
                <w:iCs/>
              </w:rPr>
              <w:t>ов</w:t>
            </w:r>
            <w:r w:rsidRPr="007B48AE">
              <w:rPr>
                <w:rFonts w:ascii="Verdana" w:hAnsi="Verdana"/>
                <w:iCs/>
              </w:rPr>
              <w:t>, в том числе (но не ограничиваясь):</w:t>
            </w:r>
          </w:p>
          <w:tbl>
            <w:tblPr>
              <w:tblW w:w="5000" w:type="pct"/>
              <w:tblLook w:val="04A0" w:firstRow="1" w:lastRow="0" w:firstColumn="1" w:lastColumn="0" w:noHBand="0" w:noVBand="1"/>
            </w:tblPr>
            <w:tblGrid>
              <w:gridCol w:w="1044"/>
              <w:gridCol w:w="11724"/>
            </w:tblGrid>
            <w:tr w:rsidR="00F74F72" w:rsidRPr="007B48AE" w:rsidTr="003709F0">
              <w:trPr>
                <w:trHeight w:val="56"/>
              </w:trPr>
              <w:tc>
                <w:tcPr>
                  <w:tcW w:w="409" w:type="pct"/>
                  <w:shd w:val="clear" w:color="000000" w:fill="FFFFFF"/>
                </w:tcPr>
                <w:p w:rsidR="00F74F72" w:rsidRPr="007B48AE" w:rsidRDefault="00F74F72" w:rsidP="003709F0">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p>
              </w:tc>
              <w:tc>
                <w:tcPr>
                  <w:tcW w:w="4591" w:type="pct"/>
                  <w:shd w:val="clear" w:color="000000" w:fill="FFFFFF"/>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Доходы (расходы) от курсовой разницы;</w:t>
                  </w:r>
                </w:p>
              </w:tc>
            </w:tr>
            <w:tr w:rsidR="00F74F72" w:rsidRPr="007B48AE" w:rsidTr="003709F0">
              <w:trPr>
                <w:trHeight w:val="56"/>
              </w:trPr>
              <w:tc>
                <w:tcPr>
                  <w:tcW w:w="409" w:type="pct"/>
                  <w:shd w:val="clear" w:color="000000" w:fill="FFFFFF"/>
                </w:tcPr>
                <w:p w:rsidR="00F74F72" w:rsidRPr="007B48AE" w:rsidRDefault="00F74F72" w:rsidP="003709F0">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p>
              </w:tc>
              <w:tc>
                <w:tcPr>
                  <w:tcW w:w="4591" w:type="pct"/>
                  <w:shd w:val="clear" w:color="000000" w:fill="FFFFFF"/>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Доходы от участия в других организациях;</w:t>
                  </w:r>
                </w:p>
              </w:tc>
            </w:tr>
            <w:tr w:rsidR="00F74F72" w:rsidRPr="007B48AE" w:rsidTr="003709F0">
              <w:trPr>
                <w:trHeight w:val="56"/>
              </w:trPr>
              <w:tc>
                <w:tcPr>
                  <w:tcW w:w="409" w:type="pct"/>
                  <w:shd w:val="clear" w:color="000000" w:fill="FFFFFF"/>
                </w:tcPr>
                <w:p w:rsidR="00F74F72" w:rsidRPr="007B48AE" w:rsidRDefault="00F74F72" w:rsidP="003709F0">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p>
              </w:tc>
              <w:tc>
                <w:tcPr>
                  <w:tcW w:w="4591" w:type="pct"/>
                  <w:shd w:val="clear" w:color="000000" w:fill="FFFFFF"/>
                </w:tcPr>
                <w:p w:rsidR="00F74F72" w:rsidRPr="007B48AE" w:rsidRDefault="00F74F72" w:rsidP="003709F0">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Доходы (расходы) от продажи активов;</w:t>
                  </w:r>
                </w:p>
              </w:tc>
            </w:tr>
            <w:tr w:rsidR="00F74F72" w:rsidRPr="007B48AE" w:rsidTr="003709F0">
              <w:trPr>
                <w:trHeight w:val="56"/>
              </w:trPr>
              <w:tc>
                <w:tcPr>
                  <w:tcW w:w="409" w:type="pct"/>
                  <w:shd w:val="clear" w:color="000000" w:fill="FFFFFF"/>
                </w:tcPr>
                <w:p w:rsidR="00F74F72" w:rsidRPr="007B48AE" w:rsidRDefault="00F74F72" w:rsidP="003709F0">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p>
              </w:tc>
              <w:tc>
                <w:tcPr>
                  <w:tcW w:w="4591" w:type="pct"/>
                  <w:shd w:val="clear" w:color="000000" w:fill="FFFFFF"/>
                </w:tcPr>
                <w:p w:rsidR="00F74F72" w:rsidRPr="007B48AE" w:rsidRDefault="00F74F72" w:rsidP="003709F0">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Единовременные государственные субсидии;</w:t>
                  </w:r>
                </w:p>
              </w:tc>
            </w:tr>
            <w:tr w:rsidR="00F74F72" w:rsidRPr="007B48AE" w:rsidTr="003709F0">
              <w:trPr>
                <w:trHeight w:val="56"/>
              </w:trPr>
              <w:tc>
                <w:tcPr>
                  <w:tcW w:w="409" w:type="pct"/>
                  <w:shd w:val="clear" w:color="000000" w:fill="FFFFFF"/>
                </w:tcPr>
                <w:p w:rsidR="00F74F72" w:rsidRPr="007B48AE" w:rsidRDefault="00F74F72" w:rsidP="003709F0">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p>
              </w:tc>
              <w:tc>
                <w:tcPr>
                  <w:tcW w:w="4591" w:type="pct"/>
                  <w:shd w:val="clear" w:color="000000" w:fill="FFFFFF"/>
                </w:tcPr>
                <w:p w:rsidR="00F74F72" w:rsidRPr="007B48AE" w:rsidRDefault="00F74F72" w:rsidP="003709F0">
                  <w:pPr>
                    <w:spacing w:after="0" w:line="300" w:lineRule="auto"/>
                    <w:contextualSpacing/>
                    <w:jc w:val="both"/>
                    <w:rPr>
                      <w:rFonts w:ascii="Verdana" w:eastAsia="Times New Roman" w:hAnsi="Verdana" w:cs="Calibri"/>
                      <w:color w:val="000000"/>
                      <w:lang w:eastAsia="ru-RU"/>
                    </w:rPr>
                  </w:pPr>
                  <w:r w:rsidRPr="007B48AE">
                    <w:rPr>
                      <w:rFonts w:ascii="Verdana" w:hAnsi="Verdana"/>
                      <w:iCs/>
                    </w:rPr>
                    <w:t>Доходы (расходы) от нетипичных операций;</w:t>
                  </w:r>
                </w:p>
              </w:tc>
            </w:tr>
            <w:tr w:rsidR="00F74F72" w:rsidRPr="007B48AE" w:rsidTr="003709F0">
              <w:trPr>
                <w:trHeight w:val="56"/>
              </w:trPr>
              <w:tc>
                <w:tcPr>
                  <w:tcW w:w="409" w:type="pct"/>
                  <w:shd w:val="clear" w:color="000000" w:fill="FFFFFF"/>
                </w:tcPr>
                <w:p w:rsidR="00F74F72" w:rsidRPr="007B48AE" w:rsidRDefault="00F74F72" w:rsidP="003709F0">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p>
              </w:tc>
              <w:tc>
                <w:tcPr>
                  <w:tcW w:w="4591" w:type="pct"/>
                  <w:shd w:val="clear" w:color="000000" w:fill="FFFFFF"/>
                </w:tcPr>
                <w:p w:rsidR="00F74F72" w:rsidRPr="007B48AE" w:rsidRDefault="00F74F72" w:rsidP="003709F0">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Экстраординарные доходы</w:t>
                  </w:r>
                  <w:r>
                    <w:rPr>
                      <w:rFonts w:ascii="Verdana" w:eastAsia="Times New Roman" w:hAnsi="Verdana" w:cs="Calibri"/>
                      <w:color w:val="000000"/>
                      <w:lang w:eastAsia="ru-RU"/>
                    </w:rPr>
                    <w:t xml:space="preserve"> (</w:t>
                  </w:r>
                  <w:r w:rsidRPr="007B48AE">
                    <w:rPr>
                      <w:rFonts w:ascii="Verdana" w:eastAsia="Times New Roman" w:hAnsi="Verdana" w:cs="Calibri"/>
                      <w:color w:val="000000"/>
                      <w:lang w:eastAsia="ru-RU"/>
                    </w:rPr>
                    <w:t>расходы</w:t>
                  </w:r>
                  <w:r>
                    <w:rPr>
                      <w:rFonts w:ascii="Verdana" w:eastAsia="Times New Roman" w:hAnsi="Verdana" w:cs="Calibri"/>
                      <w:color w:val="000000"/>
                      <w:lang w:eastAsia="ru-RU"/>
                    </w:rPr>
                    <w:t>)</w:t>
                  </w:r>
                  <w:r w:rsidRPr="007B48AE">
                    <w:rPr>
                      <w:rFonts w:ascii="Verdana" w:eastAsia="Times New Roman" w:hAnsi="Verdana" w:cs="Calibri"/>
                      <w:color w:val="000000"/>
                      <w:lang w:eastAsia="ru-RU"/>
                    </w:rPr>
                    <w:t>;</w:t>
                  </w:r>
                </w:p>
              </w:tc>
            </w:tr>
            <w:tr w:rsidR="00F74F72" w:rsidRPr="007B48AE" w:rsidTr="003709F0">
              <w:trPr>
                <w:trHeight w:val="56"/>
              </w:trPr>
              <w:tc>
                <w:tcPr>
                  <w:tcW w:w="409" w:type="pct"/>
                  <w:shd w:val="clear" w:color="000000" w:fill="FFFFFF"/>
                </w:tcPr>
                <w:p w:rsidR="00F74F72" w:rsidRPr="007B48AE" w:rsidRDefault="00F74F72" w:rsidP="003709F0">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p>
              </w:tc>
              <w:tc>
                <w:tcPr>
                  <w:tcW w:w="4591" w:type="pct"/>
                  <w:shd w:val="clear" w:color="000000" w:fill="FFFFFF"/>
                </w:tcPr>
                <w:p w:rsidR="00F74F72" w:rsidRPr="007B48AE" w:rsidRDefault="00F74F72" w:rsidP="003709F0">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 xml:space="preserve">Расходы на ликвидацию последствий </w:t>
                  </w:r>
                  <w:r w:rsidRPr="007B48AE">
                    <w:rPr>
                      <w:rFonts w:ascii="Verdana" w:eastAsia="Times New Roman" w:hAnsi="Verdana" w:cs="Calibri"/>
                      <w:bCs/>
                      <w:color w:val="000000"/>
                      <w:lang w:eastAsia="ru-RU"/>
                    </w:rPr>
                    <w:t>чрезвычайных ситуаций</w:t>
                  </w:r>
                  <w:r>
                    <w:rPr>
                      <w:rFonts w:ascii="Verdana" w:eastAsia="Times New Roman" w:hAnsi="Verdana" w:cs="Calibri"/>
                      <w:color w:val="000000"/>
                      <w:lang w:eastAsia="ru-RU"/>
                    </w:rPr>
                    <w:t>.</w:t>
                  </w:r>
                </w:p>
              </w:tc>
            </w:tr>
          </w:tbl>
          <w:p w:rsidR="00F74F72" w:rsidRPr="007B48AE" w:rsidRDefault="00F74F72" w:rsidP="003709F0">
            <w:pPr>
              <w:spacing w:after="0" w:line="300" w:lineRule="auto"/>
              <w:contextualSpacing/>
              <w:jc w:val="both"/>
              <w:rPr>
                <w:rFonts w:ascii="Verdana" w:hAnsi="Verdana"/>
                <w:iCs/>
              </w:rPr>
            </w:pPr>
          </w:p>
        </w:tc>
      </w:tr>
      <w:tr w:rsidR="00F74F72" w:rsidRPr="007B48AE" w:rsidTr="003709F0">
        <w:trPr>
          <w:gridAfter w:val="1"/>
          <w:wAfter w:w="20" w:type="dxa"/>
          <w:trHeight w:val="848"/>
        </w:trPr>
        <w:tc>
          <w:tcPr>
            <w:tcW w:w="541" w:type="dxa"/>
          </w:tcPr>
          <w:p w:rsidR="00F74F72" w:rsidRPr="007B48AE" w:rsidRDefault="00F74F72" w:rsidP="00F74F72">
            <w:pPr>
              <w:pStyle w:val="af5"/>
              <w:numPr>
                <w:ilvl w:val="0"/>
                <w:numId w:val="18"/>
              </w:numPr>
              <w:tabs>
                <w:tab w:val="left" w:pos="1418"/>
              </w:tabs>
              <w:autoSpaceDE w:val="0"/>
              <w:autoSpaceDN w:val="0"/>
              <w:spacing w:line="300" w:lineRule="auto"/>
              <w:ind w:right="40"/>
              <w:contextualSpacing/>
              <w:rPr>
                <w:rFonts w:ascii="Verdana" w:hAnsi="Verdana"/>
              </w:rPr>
            </w:pPr>
          </w:p>
        </w:tc>
        <w:tc>
          <w:tcPr>
            <w:tcW w:w="1843" w:type="dxa"/>
          </w:tcPr>
          <w:p w:rsidR="00F74F72" w:rsidRPr="007B48AE" w:rsidRDefault="00F74F72" w:rsidP="003709F0">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Собственный капитал</w:t>
            </w:r>
          </w:p>
        </w:tc>
        <w:tc>
          <w:tcPr>
            <w:tcW w:w="12984" w:type="dxa"/>
            <w:gridSpan w:val="2"/>
          </w:tcPr>
          <w:tbl>
            <w:tblPr>
              <w:tblW w:w="5000" w:type="pct"/>
              <w:tblLook w:val="04A0" w:firstRow="1" w:lastRow="0" w:firstColumn="1" w:lastColumn="0" w:noHBand="0" w:noVBand="1"/>
            </w:tblPr>
            <w:tblGrid>
              <w:gridCol w:w="712"/>
              <w:gridCol w:w="12056"/>
            </w:tblGrid>
            <w:tr w:rsidR="00F74F72" w:rsidRPr="007B48AE" w:rsidTr="003709F0">
              <w:trPr>
                <w:trHeight w:val="56"/>
              </w:trPr>
              <w:tc>
                <w:tcPr>
                  <w:tcW w:w="279"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w:t>
                  </w:r>
                </w:p>
              </w:tc>
              <w:tc>
                <w:tcPr>
                  <w:tcW w:w="4721"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Строка 1300 Бухгалтерского баланса «Итого по разделу III»;</w:t>
                  </w:r>
                </w:p>
              </w:tc>
            </w:tr>
            <w:tr w:rsidR="00F74F72" w:rsidRPr="007B48AE" w:rsidTr="003709F0">
              <w:trPr>
                <w:trHeight w:val="56"/>
              </w:trPr>
              <w:tc>
                <w:tcPr>
                  <w:tcW w:w="279"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w:t>
                  </w:r>
                </w:p>
              </w:tc>
              <w:tc>
                <w:tcPr>
                  <w:tcW w:w="4721"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Субординированная задолженность;</w:t>
                  </w:r>
                </w:p>
              </w:tc>
            </w:tr>
            <w:tr w:rsidR="00F74F72" w:rsidRPr="007B48AE" w:rsidTr="003709F0">
              <w:trPr>
                <w:trHeight w:val="56"/>
              </w:trPr>
              <w:tc>
                <w:tcPr>
                  <w:tcW w:w="279"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w:t>
                  </w:r>
                </w:p>
              </w:tc>
              <w:tc>
                <w:tcPr>
                  <w:tcW w:w="4721"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 xml:space="preserve">Субординированные краткосрочные и (или) долгосрочные обязательства. Под Субординированными краткосрочными и (или) долгосрочными обязательствами понимается задолженность (часть задолженности), сформированной перед контрагентами Заемщика и (или) перед контрагентами участниками Группы Заемщика, </w:t>
                  </w:r>
                  <w:proofErr w:type="spellStart"/>
                  <w:r w:rsidRPr="007B48AE">
                    <w:rPr>
                      <w:rFonts w:ascii="Verdana" w:hAnsi="Verdana"/>
                      <w:iCs/>
                    </w:rPr>
                    <w:t>новированные</w:t>
                  </w:r>
                  <w:proofErr w:type="spellEnd"/>
                  <w:r w:rsidRPr="007B48AE">
                    <w:rPr>
                      <w:rFonts w:ascii="Verdana" w:hAnsi="Verdana"/>
                      <w:iCs/>
                    </w:rPr>
                    <w:t xml:space="preserve"> (</w:t>
                  </w:r>
                  <w:proofErr w:type="spellStart"/>
                  <w:r w:rsidRPr="007B48AE">
                    <w:rPr>
                      <w:rFonts w:ascii="Verdana" w:hAnsi="Verdana"/>
                      <w:iCs/>
                    </w:rPr>
                    <w:t>новируемые</w:t>
                  </w:r>
                  <w:proofErr w:type="spellEnd"/>
                  <w:r w:rsidRPr="007B48AE">
                    <w:rPr>
                      <w:rFonts w:ascii="Verdana" w:hAnsi="Verdana"/>
                      <w:iCs/>
                    </w:rPr>
                    <w:t>) в вексель, переданный (передаваемый) в заклад Финансовой организации-партнеру, срок погашения которого превышает срок кредитного договора (займа), обеспечиваемого Независимой гарантией Корпорации.</w:t>
                  </w:r>
                </w:p>
              </w:tc>
            </w:tr>
          </w:tbl>
          <w:p w:rsidR="00F74F72" w:rsidRPr="007B48AE" w:rsidRDefault="00F74F72" w:rsidP="003709F0">
            <w:pPr>
              <w:spacing w:after="0" w:line="300" w:lineRule="auto"/>
              <w:contextualSpacing/>
              <w:jc w:val="both"/>
              <w:rPr>
                <w:rFonts w:ascii="Verdana" w:hAnsi="Verdana"/>
                <w:iCs/>
              </w:rPr>
            </w:pPr>
            <w:r w:rsidRPr="007B48AE">
              <w:rPr>
                <w:rFonts w:ascii="Verdana" w:hAnsi="Verdana"/>
                <w:iCs/>
              </w:rPr>
              <w:t>Корпорация, руководствуясь внутренней нормативной документацией, вправе пересмотреть определенный Финансовой организацией-партнером состав участников Группы</w:t>
            </w:r>
            <w:r>
              <w:rPr>
                <w:rFonts w:ascii="Verdana" w:hAnsi="Verdana"/>
                <w:iCs/>
              </w:rPr>
              <w:t>, бухгалтерская отчётность которых использовалась для расчета Показателя</w:t>
            </w:r>
            <w:r w:rsidRPr="007B48AE">
              <w:rPr>
                <w:rFonts w:ascii="Verdana" w:hAnsi="Verdana"/>
                <w:iCs/>
              </w:rPr>
              <w:t>, а также компонент</w:t>
            </w:r>
            <w:r>
              <w:rPr>
                <w:rFonts w:ascii="Verdana" w:hAnsi="Verdana"/>
                <w:iCs/>
              </w:rPr>
              <w:t>ов</w:t>
            </w:r>
            <w:r w:rsidRPr="007B48AE">
              <w:rPr>
                <w:rFonts w:ascii="Verdana" w:hAnsi="Verdana"/>
                <w:iCs/>
              </w:rPr>
              <w:t>, в том числе (но не ограничиваясь):</w:t>
            </w:r>
          </w:p>
          <w:tbl>
            <w:tblPr>
              <w:tblW w:w="5000" w:type="pct"/>
              <w:tblLook w:val="04A0" w:firstRow="1" w:lastRow="0" w:firstColumn="1" w:lastColumn="0" w:noHBand="0" w:noVBand="1"/>
            </w:tblPr>
            <w:tblGrid>
              <w:gridCol w:w="712"/>
              <w:gridCol w:w="12056"/>
            </w:tblGrid>
            <w:tr w:rsidR="00F74F72" w:rsidRPr="007B48AE" w:rsidTr="003709F0">
              <w:trPr>
                <w:trHeight w:val="56"/>
              </w:trPr>
              <w:tc>
                <w:tcPr>
                  <w:tcW w:w="279"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eastAsia="Times New Roman" w:hAnsi="Verdana" w:cs="Calibri"/>
                      <w:color w:val="000000"/>
                      <w:lang w:eastAsia="ru-RU"/>
                    </w:rPr>
                    <w:t>(−)</w:t>
                  </w:r>
                </w:p>
              </w:tc>
              <w:tc>
                <w:tcPr>
                  <w:tcW w:w="4721" w:type="pct"/>
                  <w:shd w:val="clear" w:color="000000" w:fill="FFFFFF"/>
                  <w:vAlign w:val="bottom"/>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Дебиторская задолженность контрагентов, обладающих высокой арбитражной и (или) низкой информационной, и (или) деловой активностью;</w:t>
                  </w:r>
                </w:p>
              </w:tc>
            </w:tr>
            <w:tr w:rsidR="00F74F72" w:rsidRPr="007B48AE" w:rsidTr="003709F0">
              <w:trPr>
                <w:trHeight w:val="56"/>
              </w:trPr>
              <w:tc>
                <w:tcPr>
                  <w:tcW w:w="279"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eastAsia="Times New Roman" w:hAnsi="Verdana" w:cs="Calibri"/>
                      <w:color w:val="000000"/>
                      <w:lang w:eastAsia="ru-RU"/>
                    </w:rPr>
                    <w:t>(−)</w:t>
                  </w:r>
                </w:p>
              </w:tc>
              <w:tc>
                <w:tcPr>
                  <w:tcW w:w="4721"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Запасы и иные оборотные активы, характеризующиеся продолжительным периодом оборачиваемости;</w:t>
                  </w:r>
                </w:p>
              </w:tc>
            </w:tr>
            <w:tr w:rsidR="00F74F72" w:rsidRPr="007B48AE" w:rsidTr="003709F0">
              <w:trPr>
                <w:trHeight w:val="56"/>
              </w:trPr>
              <w:tc>
                <w:tcPr>
                  <w:tcW w:w="279"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eastAsia="Times New Roman" w:hAnsi="Verdana" w:cs="Calibri"/>
                      <w:color w:val="000000"/>
                      <w:lang w:eastAsia="ru-RU"/>
                    </w:rPr>
                    <w:t>(−)</w:t>
                  </w:r>
                </w:p>
              </w:tc>
              <w:tc>
                <w:tcPr>
                  <w:tcW w:w="4721" w:type="pct"/>
                  <w:shd w:val="clear" w:color="000000" w:fill="FFFFFF"/>
                  <w:vAlign w:val="bottom"/>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Финансовые вложения в контрагентов, обладающих высокой арбитражной</w:t>
                  </w:r>
                  <w:r>
                    <w:rPr>
                      <w:rFonts w:ascii="Verdana" w:hAnsi="Verdana"/>
                      <w:iCs/>
                    </w:rPr>
                    <w:t xml:space="preserve">, </w:t>
                  </w:r>
                  <w:r w:rsidRPr="007B48AE">
                    <w:rPr>
                      <w:rFonts w:ascii="Verdana" w:hAnsi="Verdana"/>
                      <w:iCs/>
                    </w:rPr>
                    <w:t>низкой информационной и (или) деловой активностью</w:t>
                  </w:r>
                  <w:r>
                    <w:rPr>
                      <w:rFonts w:ascii="Verdana" w:hAnsi="Verdana"/>
                      <w:iCs/>
                    </w:rPr>
                    <w:t>, а также просроченные финансовые вложения</w:t>
                  </w:r>
                  <w:r w:rsidRPr="007B48AE">
                    <w:rPr>
                      <w:rFonts w:ascii="Verdana" w:hAnsi="Verdana"/>
                      <w:iCs/>
                    </w:rPr>
                    <w:t>;</w:t>
                  </w:r>
                </w:p>
              </w:tc>
            </w:tr>
            <w:tr w:rsidR="00F74F72" w:rsidRPr="007B48AE" w:rsidTr="003709F0">
              <w:trPr>
                <w:trHeight w:val="56"/>
              </w:trPr>
              <w:tc>
                <w:tcPr>
                  <w:tcW w:w="279" w:type="pct"/>
                  <w:shd w:val="clear" w:color="000000" w:fill="FFFFFF"/>
                </w:tcPr>
                <w:p w:rsidR="00F74F72" w:rsidRPr="007B48AE" w:rsidRDefault="00F74F72" w:rsidP="003709F0">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w:t>
                  </w:r>
                </w:p>
              </w:tc>
              <w:tc>
                <w:tcPr>
                  <w:tcW w:w="4721" w:type="pct"/>
                  <w:shd w:val="clear" w:color="000000" w:fill="FFFFFF"/>
                  <w:vAlign w:val="bottom"/>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Сальдо по счету 97 «Расходы будущих периодов»</w:t>
                  </w:r>
                  <w:r>
                    <w:rPr>
                      <w:rFonts w:ascii="Verdana" w:hAnsi="Verdana"/>
                      <w:iCs/>
                    </w:rPr>
                    <w:t>.</w:t>
                  </w:r>
                </w:p>
              </w:tc>
            </w:tr>
          </w:tbl>
          <w:p w:rsidR="00F74F72" w:rsidRPr="007B48AE" w:rsidRDefault="00F74F72" w:rsidP="003709F0">
            <w:pPr>
              <w:spacing w:after="0" w:line="300" w:lineRule="auto"/>
              <w:contextualSpacing/>
              <w:jc w:val="both"/>
              <w:rPr>
                <w:rFonts w:ascii="Verdana" w:hAnsi="Verdana"/>
                <w:iCs/>
              </w:rPr>
            </w:pPr>
          </w:p>
        </w:tc>
      </w:tr>
      <w:tr w:rsidR="00F74F72" w:rsidRPr="007B48AE" w:rsidTr="003709F0">
        <w:trPr>
          <w:gridAfter w:val="1"/>
          <w:wAfter w:w="20" w:type="dxa"/>
          <w:trHeight w:val="550"/>
        </w:trPr>
        <w:tc>
          <w:tcPr>
            <w:tcW w:w="541" w:type="dxa"/>
          </w:tcPr>
          <w:p w:rsidR="00F74F72" w:rsidRPr="007B48AE" w:rsidRDefault="00F74F72" w:rsidP="00F74F72">
            <w:pPr>
              <w:pStyle w:val="af5"/>
              <w:numPr>
                <w:ilvl w:val="0"/>
                <w:numId w:val="18"/>
              </w:numPr>
              <w:tabs>
                <w:tab w:val="left" w:pos="1418"/>
              </w:tabs>
              <w:autoSpaceDE w:val="0"/>
              <w:autoSpaceDN w:val="0"/>
              <w:spacing w:line="300" w:lineRule="auto"/>
              <w:ind w:right="40"/>
              <w:contextualSpacing/>
              <w:rPr>
                <w:rFonts w:ascii="Verdana" w:hAnsi="Verdana"/>
              </w:rPr>
            </w:pPr>
          </w:p>
        </w:tc>
        <w:tc>
          <w:tcPr>
            <w:tcW w:w="1843" w:type="dxa"/>
          </w:tcPr>
          <w:p w:rsidR="00F74F72" w:rsidRPr="007B48AE" w:rsidRDefault="00F74F72" w:rsidP="003709F0">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Активы</w:t>
            </w:r>
          </w:p>
        </w:tc>
        <w:tc>
          <w:tcPr>
            <w:tcW w:w="12984" w:type="dxa"/>
            <w:gridSpan w:val="2"/>
          </w:tcPr>
          <w:tbl>
            <w:tblPr>
              <w:tblW w:w="5000" w:type="pct"/>
              <w:tblLook w:val="04A0" w:firstRow="1" w:lastRow="0" w:firstColumn="1" w:lastColumn="0" w:noHBand="0" w:noVBand="1"/>
            </w:tblPr>
            <w:tblGrid>
              <w:gridCol w:w="712"/>
              <w:gridCol w:w="12056"/>
            </w:tblGrid>
            <w:tr w:rsidR="00F74F72" w:rsidRPr="007B48AE" w:rsidTr="003709F0">
              <w:trPr>
                <w:trHeight w:val="56"/>
              </w:trPr>
              <w:tc>
                <w:tcPr>
                  <w:tcW w:w="279"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w:t>
                  </w:r>
                </w:p>
              </w:tc>
              <w:tc>
                <w:tcPr>
                  <w:tcW w:w="4721"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Строка 1100 Бухгалтерского баланса «Итого по разделу I»;</w:t>
                  </w:r>
                </w:p>
              </w:tc>
            </w:tr>
            <w:tr w:rsidR="00F74F72" w:rsidRPr="007B48AE" w:rsidTr="003709F0">
              <w:trPr>
                <w:trHeight w:val="56"/>
              </w:trPr>
              <w:tc>
                <w:tcPr>
                  <w:tcW w:w="279" w:type="pct"/>
                  <w:shd w:val="clear" w:color="000000" w:fill="FFFFFF"/>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w:t>
                  </w:r>
                </w:p>
              </w:tc>
              <w:tc>
                <w:tcPr>
                  <w:tcW w:w="4721" w:type="pct"/>
                  <w:shd w:val="clear" w:color="000000" w:fill="FFFFFF"/>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Строка 1200 Бухгалтерского баланса «Итого по разделу II»;</w:t>
                  </w:r>
                </w:p>
              </w:tc>
            </w:tr>
          </w:tbl>
          <w:p w:rsidR="00F74F72" w:rsidRPr="007B48AE" w:rsidRDefault="00F74F72" w:rsidP="003709F0">
            <w:pPr>
              <w:spacing w:after="0" w:line="300" w:lineRule="auto"/>
              <w:contextualSpacing/>
              <w:jc w:val="both"/>
              <w:rPr>
                <w:rFonts w:ascii="Verdana" w:hAnsi="Verdana"/>
                <w:iCs/>
              </w:rPr>
            </w:pPr>
            <w:r w:rsidRPr="007B48AE">
              <w:rPr>
                <w:rFonts w:ascii="Verdana" w:hAnsi="Verdana"/>
                <w:iCs/>
              </w:rPr>
              <w:t>Корпорация, руководствуясь внутренней нормативной документацией, вправе пересмотреть определенный Финансовой организацией-партнером состав участников Группы</w:t>
            </w:r>
            <w:r>
              <w:rPr>
                <w:rFonts w:ascii="Verdana" w:hAnsi="Verdana"/>
                <w:iCs/>
              </w:rPr>
              <w:t>, бухгалтерская отчётность которых использовалась для расчета Показателя</w:t>
            </w:r>
            <w:r w:rsidRPr="007B48AE">
              <w:rPr>
                <w:rFonts w:ascii="Verdana" w:hAnsi="Verdana"/>
                <w:iCs/>
              </w:rPr>
              <w:t>, а также компонент</w:t>
            </w:r>
            <w:r>
              <w:rPr>
                <w:rFonts w:ascii="Verdana" w:hAnsi="Verdana"/>
                <w:iCs/>
              </w:rPr>
              <w:t>ов</w:t>
            </w:r>
            <w:r w:rsidRPr="007B48AE">
              <w:rPr>
                <w:rFonts w:ascii="Verdana" w:hAnsi="Verdana"/>
                <w:iCs/>
              </w:rPr>
              <w:t xml:space="preserve">, в том числе (но не ограничиваясь): </w:t>
            </w:r>
          </w:p>
          <w:tbl>
            <w:tblPr>
              <w:tblW w:w="5000" w:type="pct"/>
              <w:tblLook w:val="04A0" w:firstRow="1" w:lastRow="0" w:firstColumn="1" w:lastColumn="0" w:noHBand="0" w:noVBand="1"/>
            </w:tblPr>
            <w:tblGrid>
              <w:gridCol w:w="712"/>
              <w:gridCol w:w="12056"/>
            </w:tblGrid>
            <w:tr w:rsidR="00F74F72" w:rsidRPr="007B48AE" w:rsidTr="003709F0">
              <w:trPr>
                <w:trHeight w:val="56"/>
              </w:trPr>
              <w:tc>
                <w:tcPr>
                  <w:tcW w:w="279"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eastAsia="Times New Roman" w:hAnsi="Verdana" w:cs="Calibri"/>
                      <w:color w:val="000000"/>
                      <w:lang w:eastAsia="ru-RU"/>
                    </w:rPr>
                    <w:t>(−)</w:t>
                  </w:r>
                </w:p>
              </w:tc>
              <w:tc>
                <w:tcPr>
                  <w:tcW w:w="4721"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Дебиторская задолженность контрагентов, обладающих высокой арбитражной</w:t>
                  </w:r>
                  <w:r>
                    <w:rPr>
                      <w:rFonts w:ascii="Verdana" w:hAnsi="Verdana"/>
                      <w:iCs/>
                    </w:rPr>
                    <w:t xml:space="preserve">, </w:t>
                  </w:r>
                  <w:r w:rsidRPr="007B48AE">
                    <w:rPr>
                      <w:rFonts w:ascii="Verdana" w:hAnsi="Verdana"/>
                      <w:iCs/>
                    </w:rPr>
                    <w:t>низкой информационной и (или) деловой активностью</w:t>
                  </w:r>
                  <w:r>
                    <w:rPr>
                      <w:rFonts w:ascii="Verdana" w:hAnsi="Verdana"/>
                      <w:iCs/>
                    </w:rPr>
                    <w:t xml:space="preserve">, просроченная дебиторская задолженность и (или) дебиторская задолженность, </w:t>
                  </w:r>
                  <w:r w:rsidRPr="007B48AE">
                    <w:rPr>
                      <w:rFonts w:ascii="Verdana" w:hAnsi="Verdana"/>
                      <w:iCs/>
                    </w:rPr>
                    <w:t>характеризующиеся продолжительным периодом оборота;</w:t>
                  </w:r>
                </w:p>
              </w:tc>
            </w:tr>
            <w:tr w:rsidR="00F74F72" w:rsidRPr="007B48AE" w:rsidTr="003709F0">
              <w:trPr>
                <w:trHeight w:val="56"/>
              </w:trPr>
              <w:tc>
                <w:tcPr>
                  <w:tcW w:w="279"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eastAsia="Times New Roman" w:hAnsi="Verdana" w:cs="Calibri"/>
                      <w:color w:val="000000"/>
                      <w:lang w:eastAsia="ru-RU"/>
                    </w:rPr>
                    <w:t>(−)</w:t>
                  </w:r>
                </w:p>
              </w:tc>
              <w:tc>
                <w:tcPr>
                  <w:tcW w:w="4721"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Запасы и иные оборотные активы, характеризующиеся продолжительным периодом оборачиваемости;</w:t>
                  </w:r>
                </w:p>
              </w:tc>
            </w:tr>
            <w:tr w:rsidR="00F74F72" w:rsidRPr="007B48AE" w:rsidTr="003709F0">
              <w:trPr>
                <w:trHeight w:val="56"/>
              </w:trPr>
              <w:tc>
                <w:tcPr>
                  <w:tcW w:w="279"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eastAsia="Times New Roman" w:hAnsi="Verdana" w:cs="Calibri"/>
                      <w:color w:val="000000"/>
                      <w:lang w:eastAsia="ru-RU"/>
                    </w:rPr>
                    <w:t>(−)</w:t>
                  </w:r>
                </w:p>
              </w:tc>
              <w:tc>
                <w:tcPr>
                  <w:tcW w:w="4721" w:type="pct"/>
                  <w:shd w:val="clear" w:color="000000" w:fill="FFFFFF"/>
                  <w:hideMark/>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Финансовые вложения в контрагентов, обладающих высокой арбитражной</w:t>
                  </w:r>
                  <w:r>
                    <w:rPr>
                      <w:rFonts w:ascii="Verdana" w:hAnsi="Verdana"/>
                      <w:iCs/>
                    </w:rPr>
                    <w:t xml:space="preserve">, </w:t>
                  </w:r>
                  <w:r w:rsidRPr="007B48AE">
                    <w:rPr>
                      <w:rFonts w:ascii="Verdana" w:hAnsi="Verdana"/>
                      <w:iCs/>
                    </w:rPr>
                    <w:t>низкой информационной и (или) деловой активностью</w:t>
                  </w:r>
                  <w:r>
                    <w:rPr>
                      <w:rFonts w:ascii="Verdana" w:hAnsi="Verdana"/>
                      <w:iCs/>
                    </w:rPr>
                    <w:t>, а также просроченные финансовые вложения</w:t>
                  </w:r>
                  <w:r w:rsidRPr="007B48AE">
                    <w:rPr>
                      <w:rFonts w:ascii="Verdana" w:hAnsi="Verdana"/>
                      <w:iCs/>
                    </w:rPr>
                    <w:t>;</w:t>
                  </w:r>
                </w:p>
              </w:tc>
            </w:tr>
            <w:tr w:rsidR="00F74F72" w:rsidRPr="007B48AE" w:rsidTr="003709F0">
              <w:trPr>
                <w:trHeight w:val="56"/>
              </w:trPr>
              <w:tc>
                <w:tcPr>
                  <w:tcW w:w="279" w:type="pct"/>
                  <w:shd w:val="clear" w:color="000000" w:fill="FFFFFF"/>
                </w:tcPr>
                <w:p w:rsidR="00F74F72" w:rsidRPr="007B48AE" w:rsidRDefault="00F74F72" w:rsidP="003709F0">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w:t>
                  </w:r>
                </w:p>
              </w:tc>
              <w:tc>
                <w:tcPr>
                  <w:tcW w:w="4721" w:type="pct"/>
                  <w:shd w:val="clear" w:color="000000" w:fill="FFFFFF"/>
                </w:tcPr>
                <w:p w:rsidR="00F74F72" w:rsidRPr="007B48AE" w:rsidRDefault="00F74F72" w:rsidP="003709F0">
                  <w:pPr>
                    <w:spacing w:after="0" w:line="300" w:lineRule="auto"/>
                    <w:contextualSpacing/>
                    <w:jc w:val="both"/>
                    <w:rPr>
                      <w:rFonts w:ascii="Verdana" w:hAnsi="Verdana"/>
                      <w:iCs/>
                    </w:rPr>
                  </w:pPr>
                  <w:r w:rsidRPr="007B48AE">
                    <w:rPr>
                      <w:rFonts w:ascii="Verdana" w:hAnsi="Verdana"/>
                      <w:iCs/>
                    </w:rPr>
                    <w:t>Сальдо по счету 97 «Расходы будущих периодов»</w:t>
                  </w:r>
                  <w:r>
                    <w:rPr>
                      <w:rFonts w:ascii="Verdana" w:hAnsi="Verdana"/>
                      <w:iCs/>
                    </w:rPr>
                    <w:t>.</w:t>
                  </w:r>
                </w:p>
              </w:tc>
            </w:tr>
          </w:tbl>
          <w:p w:rsidR="00F74F72" w:rsidRPr="007B48AE" w:rsidRDefault="00F74F72" w:rsidP="003709F0">
            <w:pPr>
              <w:spacing w:after="0" w:line="300" w:lineRule="auto"/>
              <w:contextualSpacing/>
              <w:jc w:val="both"/>
              <w:rPr>
                <w:rFonts w:ascii="Verdana" w:hAnsi="Verdana"/>
                <w:iCs/>
              </w:rPr>
            </w:pPr>
          </w:p>
        </w:tc>
      </w:tr>
      <w:tr w:rsidR="00F74F72" w:rsidRPr="007B48AE" w:rsidTr="003709F0">
        <w:trPr>
          <w:gridAfter w:val="1"/>
          <w:wAfter w:w="20" w:type="dxa"/>
          <w:trHeight w:val="1982"/>
        </w:trPr>
        <w:tc>
          <w:tcPr>
            <w:tcW w:w="541" w:type="dxa"/>
          </w:tcPr>
          <w:p w:rsidR="00F74F72" w:rsidRPr="007B48AE" w:rsidRDefault="00F74F72" w:rsidP="00F74F72">
            <w:pPr>
              <w:pStyle w:val="af5"/>
              <w:numPr>
                <w:ilvl w:val="0"/>
                <w:numId w:val="18"/>
              </w:numPr>
              <w:tabs>
                <w:tab w:val="left" w:pos="306"/>
                <w:tab w:val="left" w:pos="1418"/>
              </w:tabs>
              <w:autoSpaceDE w:val="0"/>
              <w:autoSpaceDN w:val="0"/>
              <w:spacing w:line="300" w:lineRule="auto"/>
              <w:ind w:right="40"/>
              <w:contextualSpacing/>
              <w:rPr>
                <w:rFonts w:ascii="Verdana" w:hAnsi="Verdana"/>
              </w:rPr>
            </w:pPr>
          </w:p>
        </w:tc>
        <w:tc>
          <w:tcPr>
            <w:tcW w:w="1843" w:type="dxa"/>
          </w:tcPr>
          <w:p w:rsidR="00F74F72" w:rsidRPr="007B48AE" w:rsidRDefault="00F74F72" w:rsidP="003709F0">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val="en-US" w:eastAsia="ru-RU"/>
              </w:rPr>
              <w:t>DSCR</w:t>
            </w:r>
          </w:p>
        </w:tc>
        <w:tc>
          <w:tcPr>
            <w:tcW w:w="12984" w:type="dxa"/>
            <w:gridSpan w:val="2"/>
          </w:tcPr>
          <w:p w:rsidR="00F74F72" w:rsidRPr="007F775D" w:rsidRDefault="00F74F72" w:rsidP="003709F0"/>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1"/>
              <w:gridCol w:w="2467"/>
            </w:tblGrid>
            <w:tr w:rsidR="00F74F72" w:rsidRPr="00961EF9" w:rsidTr="003709F0">
              <w:trPr>
                <w:trHeight w:val="268"/>
                <w:jc w:val="center"/>
              </w:trPr>
              <w:tc>
                <w:tcPr>
                  <w:tcW w:w="1211" w:type="dxa"/>
                  <w:vMerge w:val="restart"/>
                  <w:vAlign w:val="center"/>
                  <w:hideMark/>
                </w:tcPr>
                <w:p w:rsidR="00F74F72" w:rsidRPr="007F775D" w:rsidRDefault="00F74F72" w:rsidP="003709F0">
                  <w:pPr>
                    <w:spacing w:after="0" w:line="300" w:lineRule="auto"/>
                    <w:contextualSpacing/>
                    <w:jc w:val="both"/>
                    <w:rPr>
                      <w:rFonts w:ascii="Verdana" w:eastAsia="Times New Roman" w:hAnsi="Verdana"/>
                      <w:color w:val="000000"/>
                      <w:lang w:eastAsia="ru-RU"/>
                    </w:rPr>
                  </w:pPr>
                  <w:r w:rsidRPr="007F775D">
                    <w:rPr>
                      <w:rFonts w:ascii="Verdana" w:eastAsia="Times New Roman" w:hAnsi="Verdana"/>
                      <w:color w:val="000000"/>
                      <w:lang w:val="en-US" w:eastAsia="ru-RU"/>
                    </w:rPr>
                    <w:t>DSCR</w:t>
                  </w:r>
                  <w:r w:rsidRPr="007F775D">
                    <w:rPr>
                      <w:rFonts w:ascii="Verdana" w:eastAsia="Times New Roman" w:hAnsi="Verdana"/>
                      <w:color w:val="000000"/>
                      <w:lang w:eastAsia="ru-RU"/>
                    </w:rPr>
                    <w:t xml:space="preserve"> =</w:t>
                  </w:r>
                </w:p>
              </w:tc>
              <w:tc>
                <w:tcPr>
                  <w:tcW w:w="2467" w:type="dxa"/>
                  <w:vAlign w:val="center"/>
                  <w:hideMark/>
                </w:tcPr>
                <w:p w:rsidR="00F74F72" w:rsidRPr="007F775D" w:rsidRDefault="00F74F72" w:rsidP="003709F0">
                  <w:pPr>
                    <w:spacing w:after="0" w:line="300" w:lineRule="auto"/>
                    <w:contextualSpacing/>
                    <w:jc w:val="both"/>
                    <w:rPr>
                      <w:rFonts w:ascii="Verdana" w:eastAsia="Times New Roman" w:hAnsi="Verdana"/>
                      <w:color w:val="000000"/>
                      <w:u w:val="single"/>
                      <w:lang w:val="en-US" w:eastAsia="ru-RU"/>
                    </w:rPr>
                  </w:pPr>
                  <w:r w:rsidRPr="007F775D">
                    <w:rPr>
                      <w:rFonts w:ascii="Verdana" w:eastAsia="Times New Roman" w:hAnsi="Verdana"/>
                      <w:iCs/>
                      <w:color w:val="000000"/>
                      <w:u w:val="single"/>
                      <w:lang w:val="en-US" w:eastAsia="ru-RU"/>
                    </w:rPr>
                    <w:t>CFO</w:t>
                  </w:r>
                  <w:r w:rsidRPr="007F775D">
                    <w:rPr>
                      <w:rFonts w:ascii="Verdana" w:eastAsia="Times New Roman" w:hAnsi="Verdana"/>
                      <w:iCs/>
                      <w:color w:val="000000"/>
                      <w:u w:val="single"/>
                      <w:lang w:eastAsia="ru-RU"/>
                    </w:rPr>
                    <w:t xml:space="preserve"> + </w:t>
                  </w:r>
                  <w:r w:rsidRPr="007F775D">
                    <w:rPr>
                      <w:rFonts w:ascii="Verdana" w:eastAsia="Times New Roman" w:hAnsi="Verdana"/>
                      <w:iCs/>
                      <w:color w:val="000000"/>
                      <w:u w:val="single"/>
                      <w:lang w:val="en-US" w:eastAsia="ru-RU"/>
                    </w:rPr>
                    <w:t>CFI</w:t>
                  </w:r>
                  <w:r>
                    <w:rPr>
                      <w:rFonts w:ascii="Verdana" w:eastAsia="Times New Roman" w:hAnsi="Verdana"/>
                      <w:iCs/>
                      <w:color w:val="000000"/>
                      <w:u w:val="single"/>
                      <w:lang w:val="en-US" w:eastAsia="ru-RU"/>
                    </w:rPr>
                    <w:t xml:space="preserve"> + D</w:t>
                  </w:r>
                </w:p>
              </w:tc>
            </w:tr>
            <w:tr w:rsidR="00F74F72" w:rsidRPr="00961EF9" w:rsidTr="003709F0">
              <w:trPr>
                <w:trHeight w:val="268"/>
                <w:jc w:val="center"/>
              </w:trPr>
              <w:tc>
                <w:tcPr>
                  <w:tcW w:w="1211" w:type="dxa"/>
                  <w:vMerge/>
                  <w:vAlign w:val="center"/>
                  <w:hideMark/>
                </w:tcPr>
                <w:p w:rsidR="00F74F72" w:rsidRPr="007F775D" w:rsidRDefault="00F74F72" w:rsidP="003709F0">
                  <w:pPr>
                    <w:spacing w:after="0" w:line="300" w:lineRule="auto"/>
                    <w:contextualSpacing/>
                    <w:rPr>
                      <w:rFonts w:ascii="Verdana" w:eastAsia="Times New Roman" w:hAnsi="Verdana"/>
                      <w:color w:val="000000"/>
                      <w:lang w:eastAsia="ru-RU"/>
                    </w:rPr>
                  </w:pPr>
                </w:p>
              </w:tc>
              <w:tc>
                <w:tcPr>
                  <w:tcW w:w="2467" w:type="dxa"/>
                  <w:vAlign w:val="center"/>
                  <w:hideMark/>
                </w:tcPr>
                <w:p w:rsidR="00F74F72" w:rsidRPr="007F775D" w:rsidRDefault="00F74F72" w:rsidP="003709F0">
                  <w:pPr>
                    <w:spacing w:after="0" w:line="300" w:lineRule="auto"/>
                    <w:contextualSpacing/>
                    <w:rPr>
                      <w:rFonts w:ascii="Verdana" w:eastAsia="Times New Roman" w:hAnsi="Verdana"/>
                      <w:color w:val="000000"/>
                      <w:lang w:eastAsia="ru-RU"/>
                    </w:rPr>
                  </w:pPr>
                  <w:r w:rsidRPr="007F775D">
                    <w:rPr>
                      <w:rFonts w:ascii="Verdana" w:eastAsia="Times New Roman" w:hAnsi="Verdana"/>
                      <w:color w:val="000000"/>
                      <w:lang w:eastAsia="ru-RU"/>
                    </w:rPr>
                    <w:t xml:space="preserve">       </w:t>
                  </w:r>
                  <w:r w:rsidRPr="007F775D">
                    <w:rPr>
                      <w:rFonts w:ascii="Verdana" w:eastAsia="Times New Roman" w:hAnsi="Verdana"/>
                      <w:color w:val="000000"/>
                      <w:lang w:val="en-US" w:eastAsia="ru-RU"/>
                    </w:rPr>
                    <w:t>P</w:t>
                  </w:r>
                  <w:r w:rsidRPr="007F775D">
                    <w:rPr>
                      <w:rFonts w:ascii="Verdana" w:eastAsia="Times New Roman" w:hAnsi="Verdana"/>
                      <w:color w:val="000000"/>
                      <w:lang w:eastAsia="ru-RU"/>
                    </w:rPr>
                    <w:t xml:space="preserve"> + </w:t>
                  </w:r>
                  <w:r w:rsidRPr="007F775D">
                    <w:rPr>
                      <w:rFonts w:ascii="Verdana" w:eastAsia="Times New Roman" w:hAnsi="Verdana"/>
                      <w:color w:val="000000"/>
                      <w:lang w:val="en-US" w:eastAsia="ru-RU"/>
                    </w:rPr>
                    <w:t>I</w:t>
                  </w:r>
                </w:p>
              </w:tc>
            </w:tr>
          </w:tbl>
          <w:p w:rsidR="00F74F72" w:rsidRPr="007F775D" w:rsidRDefault="00F74F72" w:rsidP="003709F0">
            <w:pPr>
              <w:pStyle w:val="afb"/>
              <w:shd w:val="clear" w:color="auto" w:fill="FFFFFF"/>
              <w:spacing w:before="0" w:beforeAutospacing="0" w:after="0" w:afterAutospacing="0" w:line="300" w:lineRule="auto"/>
              <w:contextualSpacing/>
              <w:jc w:val="both"/>
              <w:rPr>
                <w:rFonts w:ascii="Verdana" w:hAnsi="Verdana"/>
                <w:color w:val="000000"/>
                <w:sz w:val="22"/>
                <w:szCs w:val="22"/>
                <w:lang w:eastAsia="en-US"/>
              </w:rPr>
            </w:pPr>
          </w:p>
          <w:tbl>
            <w:tblPr>
              <w:tblStyle w:val="af7"/>
              <w:tblW w:w="5000"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671"/>
              <w:gridCol w:w="12087"/>
            </w:tblGrid>
            <w:tr w:rsidR="00F74F72" w:rsidRPr="005264E3" w:rsidTr="003709F0">
              <w:tc>
                <w:tcPr>
                  <w:tcW w:w="263" w:type="pct"/>
                  <w:hideMark/>
                </w:tcPr>
                <w:p w:rsidR="00F74F72" w:rsidRPr="005264E3" w:rsidRDefault="00F74F72" w:rsidP="003709F0">
                  <w:pPr>
                    <w:pStyle w:val="afb"/>
                    <w:spacing w:before="0" w:beforeAutospacing="0" w:after="0" w:afterAutospacing="0" w:line="300" w:lineRule="auto"/>
                    <w:contextualSpacing/>
                    <w:jc w:val="both"/>
                    <w:rPr>
                      <w:rFonts w:ascii="Verdana" w:hAnsi="Verdana"/>
                      <w:bCs/>
                      <w:color w:val="000000"/>
                      <w:sz w:val="22"/>
                      <w:szCs w:val="22"/>
                      <w:lang w:eastAsia="en-US"/>
                    </w:rPr>
                  </w:pPr>
                  <w:r w:rsidRPr="005264E3">
                    <w:rPr>
                      <w:rFonts w:ascii="Verdana" w:hAnsi="Verdana"/>
                      <w:bCs/>
                      <w:color w:val="000000"/>
                      <w:sz w:val="22"/>
                      <w:szCs w:val="22"/>
                      <w:lang w:val="en-US" w:eastAsia="en-US"/>
                    </w:rPr>
                    <w:t>CFO</w:t>
                  </w:r>
                  <w:r w:rsidRPr="005264E3">
                    <w:rPr>
                      <w:rFonts w:ascii="Verdana" w:hAnsi="Verdana"/>
                      <w:bCs/>
                      <w:color w:val="000000"/>
                      <w:sz w:val="22"/>
                      <w:szCs w:val="22"/>
                      <w:lang w:eastAsia="en-US"/>
                    </w:rPr>
                    <w:t xml:space="preserve"> </w:t>
                  </w:r>
                </w:p>
              </w:tc>
              <w:tc>
                <w:tcPr>
                  <w:tcW w:w="4737" w:type="pct"/>
                  <w:hideMark/>
                </w:tcPr>
                <w:p w:rsidR="00F74F72" w:rsidRPr="005264E3" w:rsidRDefault="00F74F72" w:rsidP="003709F0">
                  <w:pPr>
                    <w:pStyle w:val="afb"/>
                    <w:spacing w:before="0" w:beforeAutospacing="0" w:after="0" w:afterAutospacing="0" w:line="300" w:lineRule="auto"/>
                    <w:contextualSpacing/>
                    <w:jc w:val="both"/>
                    <w:rPr>
                      <w:rFonts w:ascii="Verdana" w:hAnsi="Verdana"/>
                      <w:bCs/>
                      <w:color w:val="000000"/>
                      <w:sz w:val="22"/>
                      <w:szCs w:val="22"/>
                      <w:lang w:eastAsia="en-US"/>
                    </w:rPr>
                  </w:pPr>
                  <w:r w:rsidRPr="005264E3">
                    <w:rPr>
                      <w:rFonts w:ascii="Verdana" w:hAnsi="Verdana" w:cs="Calibri"/>
                      <w:color w:val="000000"/>
                      <w:sz w:val="22"/>
                      <w:szCs w:val="22"/>
                      <w:lang w:eastAsia="en-US"/>
                    </w:rPr>
                    <w:t xml:space="preserve"> Операционный денежный поток</w:t>
                  </w:r>
                  <w:r>
                    <w:rPr>
                      <w:rStyle w:val="afa"/>
                      <w:rFonts w:ascii="Verdana" w:eastAsia="Liberation Sans" w:hAnsi="Verdana" w:cs="Calibri"/>
                      <w:color w:val="000000"/>
                      <w:lang w:eastAsia="en-US"/>
                    </w:rPr>
                    <w:footnoteReference w:customMarkFollows="1" w:id="4"/>
                    <w:t>2</w:t>
                  </w:r>
                  <w:r w:rsidRPr="005264E3">
                    <w:rPr>
                      <w:rFonts w:ascii="Verdana" w:hAnsi="Verdana" w:cs="Calibri"/>
                      <w:color w:val="000000"/>
                      <w:sz w:val="22"/>
                      <w:szCs w:val="22"/>
                      <w:lang w:eastAsia="en-US"/>
                    </w:rPr>
                    <w:t>;</w:t>
                  </w:r>
                </w:p>
              </w:tc>
            </w:tr>
            <w:tr w:rsidR="00F74F72" w:rsidRPr="005264E3" w:rsidTr="003709F0">
              <w:tc>
                <w:tcPr>
                  <w:tcW w:w="263" w:type="pct"/>
                </w:tcPr>
                <w:p w:rsidR="00F74F72" w:rsidRPr="005264E3" w:rsidRDefault="00F74F72" w:rsidP="003709F0">
                  <w:pPr>
                    <w:pStyle w:val="afb"/>
                    <w:spacing w:before="0" w:beforeAutospacing="0" w:after="0" w:afterAutospacing="0" w:line="300" w:lineRule="auto"/>
                    <w:contextualSpacing/>
                    <w:jc w:val="both"/>
                    <w:rPr>
                      <w:rFonts w:ascii="Verdana" w:hAnsi="Verdana"/>
                      <w:bCs/>
                      <w:color w:val="000000"/>
                      <w:sz w:val="22"/>
                      <w:szCs w:val="22"/>
                      <w:lang w:val="en-US" w:eastAsia="en-US"/>
                    </w:rPr>
                  </w:pPr>
                  <w:r w:rsidRPr="005264E3">
                    <w:rPr>
                      <w:rFonts w:ascii="Verdana" w:hAnsi="Verdana"/>
                      <w:bCs/>
                      <w:color w:val="000000"/>
                      <w:sz w:val="22"/>
                      <w:szCs w:val="22"/>
                      <w:lang w:eastAsia="en-US"/>
                    </w:rPr>
                    <w:t>CFI</w:t>
                  </w:r>
                </w:p>
              </w:tc>
              <w:tc>
                <w:tcPr>
                  <w:tcW w:w="4737" w:type="pct"/>
                </w:tcPr>
                <w:p w:rsidR="00F74F72" w:rsidRPr="005264E3" w:rsidRDefault="00F74F72" w:rsidP="003709F0">
                  <w:pPr>
                    <w:pStyle w:val="afb"/>
                    <w:spacing w:before="0" w:beforeAutospacing="0" w:after="0" w:afterAutospacing="0" w:line="300" w:lineRule="auto"/>
                    <w:contextualSpacing/>
                    <w:jc w:val="both"/>
                    <w:rPr>
                      <w:rFonts w:ascii="Verdana" w:hAnsi="Verdana" w:cs="Calibri"/>
                      <w:color w:val="000000"/>
                      <w:sz w:val="22"/>
                      <w:szCs w:val="22"/>
                      <w:lang w:eastAsia="en-US"/>
                    </w:rPr>
                  </w:pPr>
                  <w:r w:rsidRPr="005264E3">
                    <w:rPr>
                      <w:rFonts w:ascii="Verdana" w:hAnsi="Verdana"/>
                      <w:color w:val="000000"/>
                      <w:sz w:val="22"/>
                      <w:szCs w:val="22"/>
                      <w:lang w:eastAsia="en-US"/>
                    </w:rPr>
                    <w:t xml:space="preserve"> Сальдо инвестиционных денежных потоков;</w:t>
                  </w:r>
                </w:p>
              </w:tc>
            </w:tr>
            <w:tr w:rsidR="00F74F72" w:rsidRPr="005264E3" w:rsidTr="003709F0">
              <w:tc>
                <w:tcPr>
                  <w:tcW w:w="263" w:type="pct"/>
                </w:tcPr>
                <w:p w:rsidR="00F74F72" w:rsidRPr="00407838" w:rsidRDefault="00F74F72" w:rsidP="003709F0">
                  <w:pPr>
                    <w:pStyle w:val="afb"/>
                    <w:spacing w:before="0" w:beforeAutospacing="0" w:after="0" w:afterAutospacing="0" w:line="300" w:lineRule="auto"/>
                    <w:contextualSpacing/>
                    <w:jc w:val="both"/>
                    <w:rPr>
                      <w:rFonts w:ascii="Verdana" w:hAnsi="Verdana"/>
                      <w:bCs/>
                      <w:color w:val="000000"/>
                      <w:sz w:val="22"/>
                      <w:szCs w:val="22"/>
                      <w:lang w:val="en-US" w:eastAsia="en-US"/>
                    </w:rPr>
                  </w:pPr>
                  <w:r>
                    <w:rPr>
                      <w:rFonts w:ascii="Verdana" w:hAnsi="Verdana"/>
                      <w:bCs/>
                      <w:color w:val="000000"/>
                      <w:sz w:val="22"/>
                      <w:szCs w:val="22"/>
                      <w:lang w:val="en-US" w:eastAsia="en-US"/>
                    </w:rPr>
                    <w:t>D</w:t>
                  </w:r>
                </w:p>
              </w:tc>
              <w:tc>
                <w:tcPr>
                  <w:tcW w:w="4737" w:type="pct"/>
                </w:tcPr>
                <w:p w:rsidR="00F74F72" w:rsidRPr="005264E3" w:rsidRDefault="00F74F72" w:rsidP="003709F0">
                  <w:pPr>
                    <w:pStyle w:val="afb"/>
                    <w:spacing w:before="0" w:beforeAutospacing="0" w:after="0" w:afterAutospacing="0" w:line="300" w:lineRule="auto"/>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 Привлекаемый финансовый долг;</w:t>
                  </w:r>
                </w:p>
              </w:tc>
            </w:tr>
            <w:tr w:rsidR="00F74F72" w:rsidRPr="005264E3" w:rsidTr="003709F0">
              <w:tc>
                <w:tcPr>
                  <w:tcW w:w="263" w:type="pct"/>
                </w:tcPr>
                <w:p w:rsidR="00F74F72" w:rsidRPr="005264E3" w:rsidRDefault="00F74F72" w:rsidP="003709F0">
                  <w:pPr>
                    <w:pStyle w:val="afb"/>
                    <w:spacing w:before="0" w:beforeAutospacing="0" w:after="0" w:afterAutospacing="0" w:line="300" w:lineRule="auto"/>
                    <w:contextualSpacing/>
                    <w:jc w:val="both"/>
                    <w:rPr>
                      <w:rFonts w:ascii="Verdana" w:hAnsi="Verdana"/>
                      <w:bCs/>
                      <w:color w:val="000000"/>
                      <w:sz w:val="22"/>
                      <w:szCs w:val="22"/>
                      <w:lang w:eastAsia="en-US"/>
                    </w:rPr>
                  </w:pPr>
                  <w:r w:rsidRPr="005264E3">
                    <w:rPr>
                      <w:rFonts w:ascii="Verdana" w:hAnsi="Verdana"/>
                      <w:bCs/>
                      <w:color w:val="000000"/>
                      <w:sz w:val="22"/>
                      <w:szCs w:val="22"/>
                      <w:lang w:eastAsia="en-US"/>
                    </w:rPr>
                    <w:t>P</w:t>
                  </w:r>
                </w:p>
              </w:tc>
              <w:tc>
                <w:tcPr>
                  <w:tcW w:w="4737" w:type="pct"/>
                </w:tcPr>
                <w:p w:rsidR="00F74F72" w:rsidRPr="005264E3" w:rsidDel="00946EAE" w:rsidRDefault="00F74F72" w:rsidP="003709F0">
                  <w:pPr>
                    <w:pStyle w:val="afb"/>
                    <w:spacing w:before="0" w:beforeAutospacing="0" w:after="0" w:afterAutospacing="0" w:line="300" w:lineRule="auto"/>
                    <w:contextualSpacing/>
                    <w:jc w:val="both"/>
                    <w:rPr>
                      <w:rFonts w:ascii="Verdana" w:hAnsi="Verdana"/>
                      <w:color w:val="000000"/>
                      <w:sz w:val="22"/>
                      <w:szCs w:val="22"/>
                      <w:lang w:eastAsia="en-US"/>
                    </w:rPr>
                  </w:pPr>
                  <w:r w:rsidRPr="005264E3">
                    <w:rPr>
                      <w:rFonts w:ascii="Verdana" w:hAnsi="Verdana"/>
                      <w:color w:val="000000"/>
                      <w:sz w:val="22"/>
                      <w:szCs w:val="22"/>
                      <w:lang w:eastAsia="en-US"/>
                    </w:rPr>
                    <w:t xml:space="preserve"> Выплата основного долга</w:t>
                  </w:r>
                  <w:r>
                    <w:rPr>
                      <w:rFonts w:ascii="Verdana" w:hAnsi="Verdana"/>
                      <w:color w:val="000000"/>
                      <w:sz w:val="22"/>
                      <w:szCs w:val="22"/>
                      <w:lang w:eastAsia="en-US"/>
                    </w:rPr>
                    <w:t>;</w:t>
                  </w:r>
                </w:p>
              </w:tc>
            </w:tr>
            <w:tr w:rsidR="00F74F72" w:rsidRPr="005264E3" w:rsidTr="003709F0">
              <w:trPr>
                <w:trHeight w:val="70"/>
              </w:trPr>
              <w:tc>
                <w:tcPr>
                  <w:tcW w:w="263" w:type="pct"/>
                </w:tcPr>
                <w:p w:rsidR="00F74F72" w:rsidRPr="005264E3" w:rsidRDefault="00F74F72" w:rsidP="003709F0">
                  <w:pPr>
                    <w:pStyle w:val="afb"/>
                    <w:spacing w:before="0" w:beforeAutospacing="0" w:after="0" w:afterAutospacing="0" w:line="300" w:lineRule="auto"/>
                    <w:contextualSpacing/>
                    <w:jc w:val="both"/>
                    <w:rPr>
                      <w:rFonts w:ascii="Verdana" w:hAnsi="Verdana"/>
                      <w:bCs/>
                      <w:color w:val="000000"/>
                      <w:sz w:val="22"/>
                      <w:szCs w:val="22"/>
                      <w:lang w:eastAsia="en-US"/>
                    </w:rPr>
                  </w:pPr>
                  <w:r w:rsidRPr="005264E3">
                    <w:rPr>
                      <w:rFonts w:ascii="Verdana" w:hAnsi="Verdana"/>
                      <w:bCs/>
                      <w:color w:val="000000"/>
                      <w:sz w:val="22"/>
                      <w:szCs w:val="22"/>
                      <w:lang w:val="en-US" w:eastAsia="en-US"/>
                    </w:rPr>
                    <w:t>I</w:t>
                  </w:r>
                </w:p>
              </w:tc>
              <w:tc>
                <w:tcPr>
                  <w:tcW w:w="4737" w:type="pct"/>
                </w:tcPr>
                <w:p w:rsidR="00F74F72" w:rsidRPr="005264E3" w:rsidRDefault="00F74F72" w:rsidP="003709F0">
                  <w:pPr>
                    <w:pStyle w:val="afb"/>
                    <w:spacing w:before="0" w:beforeAutospacing="0" w:after="0" w:afterAutospacing="0" w:line="300" w:lineRule="auto"/>
                    <w:contextualSpacing/>
                    <w:jc w:val="both"/>
                    <w:rPr>
                      <w:rFonts w:ascii="Verdana" w:hAnsi="Verdana"/>
                      <w:bCs/>
                      <w:color w:val="000000"/>
                      <w:sz w:val="22"/>
                      <w:szCs w:val="22"/>
                      <w:lang w:eastAsia="en-US"/>
                    </w:rPr>
                  </w:pPr>
                  <w:r w:rsidRPr="005264E3">
                    <w:rPr>
                      <w:rFonts w:ascii="Verdana" w:hAnsi="Verdana"/>
                      <w:color w:val="000000"/>
                      <w:sz w:val="22"/>
                      <w:szCs w:val="22"/>
                      <w:lang w:eastAsia="en-US"/>
                    </w:rPr>
                    <w:t xml:space="preserve"> Проценты</w:t>
                  </w:r>
                  <w:r>
                    <w:rPr>
                      <w:rFonts w:ascii="Verdana" w:hAnsi="Verdana"/>
                      <w:color w:val="000000"/>
                      <w:sz w:val="22"/>
                      <w:szCs w:val="22"/>
                      <w:lang w:eastAsia="en-US"/>
                    </w:rPr>
                    <w:t xml:space="preserve"> к уплате.</w:t>
                  </w:r>
                </w:p>
              </w:tc>
            </w:tr>
          </w:tbl>
          <w:p w:rsidR="00F74F72" w:rsidRPr="007B48AE" w:rsidRDefault="00F74F72" w:rsidP="003709F0">
            <w:pPr>
              <w:spacing w:after="0" w:line="300" w:lineRule="auto"/>
              <w:contextualSpacing/>
              <w:jc w:val="both"/>
              <w:rPr>
                <w:rFonts w:ascii="Verdana" w:hAnsi="Verdana"/>
                <w:iCs/>
              </w:rPr>
            </w:pPr>
            <w:r>
              <w:rPr>
                <w:rFonts w:ascii="Verdana" w:hAnsi="Verdana"/>
                <w:iCs/>
              </w:rPr>
              <w:t xml:space="preserve">   </w:t>
            </w:r>
          </w:p>
        </w:tc>
      </w:tr>
      <w:tr w:rsidR="00F74F72" w:rsidRPr="007B48AE" w:rsidTr="003709F0">
        <w:trPr>
          <w:gridAfter w:val="1"/>
          <w:wAfter w:w="20" w:type="dxa"/>
          <w:trHeight w:val="70"/>
        </w:trPr>
        <w:tc>
          <w:tcPr>
            <w:tcW w:w="541" w:type="dxa"/>
          </w:tcPr>
          <w:p w:rsidR="00F74F72" w:rsidRPr="007B48AE" w:rsidRDefault="00F74F72" w:rsidP="00F74F72">
            <w:pPr>
              <w:pStyle w:val="af5"/>
              <w:numPr>
                <w:ilvl w:val="0"/>
                <w:numId w:val="18"/>
              </w:numPr>
              <w:tabs>
                <w:tab w:val="left" w:pos="1418"/>
              </w:tabs>
              <w:autoSpaceDE w:val="0"/>
              <w:autoSpaceDN w:val="0"/>
              <w:spacing w:line="300" w:lineRule="auto"/>
              <w:ind w:right="40"/>
              <w:contextualSpacing/>
              <w:rPr>
                <w:rFonts w:ascii="Verdana" w:hAnsi="Verdana"/>
              </w:rPr>
            </w:pPr>
          </w:p>
        </w:tc>
        <w:tc>
          <w:tcPr>
            <w:tcW w:w="1843" w:type="dxa"/>
          </w:tcPr>
          <w:p w:rsidR="00F74F72" w:rsidRPr="007B48AE" w:rsidRDefault="00F74F72" w:rsidP="003709F0">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Собственное участие</w:t>
            </w:r>
          </w:p>
        </w:tc>
        <w:tc>
          <w:tcPr>
            <w:tcW w:w="12984" w:type="dxa"/>
            <w:gridSpan w:val="2"/>
          </w:tcPr>
          <w:p w:rsidR="00F74F72" w:rsidRPr="00280E86" w:rsidRDefault="00F74F72" w:rsidP="003709F0">
            <w:pPr>
              <w:spacing w:after="0" w:line="300" w:lineRule="auto"/>
              <w:contextualSpacing/>
              <w:jc w:val="both"/>
              <w:rPr>
                <w:rFonts w:ascii="Verdana" w:eastAsia="Times New Roman" w:hAnsi="Verdana"/>
                <w:color w:val="000000"/>
                <w:lang w:eastAsia="ru-RU"/>
              </w:rPr>
            </w:pPr>
            <w:r w:rsidRPr="00280E86">
              <w:rPr>
                <w:rFonts w:ascii="Verdana" w:hAnsi="Verdana"/>
              </w:rPr>
              <w:t xml:space="preserve">Под </w:t>
            </w:r>
            <w:r w:rsidRPr="00280E86">
              <w:rPr>
                <w:rFonts w:ascii="Verdana" w:hAnsi="Verdana"/>
                <w:color w:val="000000"/>
                <w:lang w:eastAsia="ru-RU"/>
              </w:rPr>
              <w:t>собственным участием понимаются:</w:t>
            </w:r>
          </w:p>
          <w:p w:rsidR="00F74F72" w:rsidRPr="00280E86" w:rsidRDefault="00F74F72" w:rsidP="00F74F72">
            <w:pPr>
              <w:pStyle w:val="af8"/>
              <w:numPr>
                <w:ilvl w:val="0"/>
                <w:numId w:val="19"/>
              </w:numPr>
              <w:autoSpaceDE w:val="0"/>
              <w:autoSpaceDN w:val="0"/>
              <w:spacing w:line="300" w:lineRule="auto"/>
              <w:contextualSpacing/>
              <w:jc w:val="both"/>
              <w:rPr>
                <w:rFonts w:ascii="Verdana" w:hAnsi="Verdana"/>
                <w:sz w:val="22"/>
                <w:szCs w:val="22"/>
              </w:rPr>
            </w:pPr>
            <w:r w:rsidRPr="00280E86">
              <w:rPr>
                <w:rFonts w:ascii="Verdana" w:hAnsi="Verdana"/>
                <w:sz w:val="22"/>
                <w:szCs w:val="22"/>
              </w:rPr>
              <w:t xml:space="preserve">денежные средства (в том числе полученные в результате возникновения Субординированной задолженности), внесенные (вносимые) в проект путем их размещения на залоговом счете (депозите) в Финансовой организации-партнере и (или) в форме залога приобретенных векселей Финансовой организации-партнера, на финансирование капитальных затрат в соответствии с утвержденным бюджетом и целями проекта; </w:t>
            </w:r>
          </w:p>
          <w:p w:rsidR="00F74F72" w:rsidRPr="00280E86" w:rsidRDefault="00F74F72" w:rsidP="00F74F72">
            <w:pPr>
              <w:pStyle w:val="af8"/>
              <w:numPr>
                <w:ilvl w:val="0"/>
                <w:numId w:val="19"/>
              </w:numPr>
              <w:autoSpaceDE w:val="0"/>
              <w:autoSpaceDN w:val="0"/>
              <w:spacing w:line="300" w:lineRule="auto"/>
              <w:contextualSpacing/>
              <w:jc w:val="both"/>
              <w:rPr>
                <w:rFonts w:ascii="Verdana" w:hAnsi="Verdana"/>
                <w:sz w:val="22"/>
                <w:szCs w:val="22"/>
              </w:rPr>
            </w:pPr>
            <w:r w:rsidRPr="00280E86">
              <w:rPr>
                <w:rFonts w:ascii="Verdana" w:hAnsi="Verdana"/>
                <w:sz w:val="22"/>
                <w:szCs w:val="22"/>
              </w:rPr>
              <w:t>денежные средства</w:t>
            </w:r>
            <w:r w:rsidRPr="00280E86">
              <w:rPr>
                <w:rFonts w:ascii="Verdana" w:hAnsi="Verdana" w:cs="Calibri"/>
                <w:color w:val="000000"/>
                <w:sz w:val="22"/>
                <w:szCs w:val="22"/>
                <w:lang w:eastAsia="ru-RU"/>
              </w:rPr>
              <w:t>,</w:t>
            </w:r>
            <w:r w:rsidRPr="00280E86">
              <w:rPr>
                <w:rFonts w:ascii="Verdana" w:hAnsi="Verdana"/>
                <w:sz w:val="22"/>
                <w:szCs w:val="22"/>
              </w:rPr>
              <w:t xml:space="preserve"> внесенные (вносимые) в проект,</w:t>
            </w:r>
            <w:r w:rsidRPr="00280E86">
              <w:rPr>
                <w:rFonts w:ascii="Verdana" w:hAnsi="Verdana" w:cs="Calibri"/>
                <w:color w:val="000000"/>
                <w:sz w:val="22"/>
                <w:szCs w:val="22"/>
                <w:lang w:eastAsia="ru-RU"/>
              </w:rPr>
              <w:t xml:space="preserve"> полученные в результате возникновения</w:t>
            </w:r>
            <w:r w:rsidRPr="00280E86">
              <w:rPr>
                <w:rFonts w:ascii="Verdana" w:hAnsi="Verdana"/>
                <w:sz w:val="22"/>
                <w:szCs w:val="22"/>
              </w:rPr>
              <w:t xml:space="preserve"> Субординированной задолженности</w:t>
            </w:r>
            <w:r w:rsidRPr="00280E86">
              <w:rPr>
                <w:rFonts w:ascii="Verdana" w:hAnsi="Verdana" w:cs="Calibri"/>
                <w:color w:val="000000"/>
                <w:sz w:val="22"/>
                <w:szCs w:val="22"/>
                <w:lang w:eastAsia="ru-RU"/>
              </w:rPr>
              <w:t>, направленные на финансирование Капитальных затрат</w:t>
            </w:r>
            <w:r w:rsidRPr="00280E86">
              <w:rPr>
                <w:rFonts w:ascii="Verdana" w:hAnsi="Verdana"/>
                <w:sz w:val="22"/>
                <w:szCs w:val="22"/>
              </w:rPr>
              <w:t xml:space="preserve"> в соответствии с утвержденным бюджетом и целями проекта;</w:t>
            </w:r>
          </w:p>
          <w:p w:rsidR="00F74F72" w:rsidRPr="00280E86" w:rsidRDefault="00F74F72" w:rsidP="003709F0">
            <w:pPr>
              <w:pStyle w:val="af8"/>
              <w:spacing w:line="300" w:lineRule="auto"/>
              <w:contextualSpacing/>
              <w:jc w:val="both"/>
              <w:rPr>
                <w:rFonts w:ascii="Verdana" w:hAnsi="Verdana"/>
                <w:sz w:val="22"/>
                <w:szCs w:val="22"/>
              </w:rPr>
            </w:pPr>
            <w:r w:rsidRPr="00280E86">
              <w:rPr>
                <w:rFonts w:ascii="Verdana" w:hAnsi="Verdana"/>
                <w:sz w:val="22"/>
                <w:szCs w:val="22"/>
              </w:rPr>
              <w:t>Под капитальными затратами понимаются затраты, направленные (направляемые) на:</w:t>
            </w:r>
          </w:p>
          <w:p w:rsidR="00F74F72" w:rsidRPr="00280E86" w:rsidRDefault="00F74F72" w:rsidP="00F74F72">
            <w:pPr>
              <w:pStyle w:val="af8"/>
              <w:numPr>
                <w:ilvl w:val="0"/>
                <w:numId w:val="20"/>
              </w:numPr>
              <w:autoSpaceDE w:val="0"/>
              <w:autoSpaceDN w:val="0"/>
              <w:spacing w:line="300" w:lineRule="auto"/>
              <w:contextualSpacing/>
              <w:rPr>
                <w:rFonts w:ascii="Verdana" w:hAnsi="Verdana"/>
                <w:sz w:val="22"/>
                <w:szCs w:val="22"/>
              </w:rPr>
            </w:pPr>
            <w:r w:rsidRPr="00280E86">
              <w:rPr>
                <w:rFonts w:ascii="Verdana" w:hAnsi="Verdana"/>
                <w:sz w:val="22"/>
                <w:szCs w:val="22"/>
              </w:rPr>
              <w:t xml:space="preserve">подготовку проектно-сметной и исходно-разрешительной документации; </w:t>
            </w:r>
          </w:p>
          <w:p w:rsidR="00F74F72" w:rsidRPr="00280E86" w:rsidRDefault="00F74F72" w:rsidP="00F74F72">
            <w:pPr>
              <w:pStyle w:val="af8"/>
              <w:numPr>
                <w:ilvl w:val="0"/>
                <w:numId w:val="20"/>
              </w:numPr>
              <w:autoSpaceDE w:val="0"/>
              <w:autoSpaceDN w:val="0"/>
              <w:spacing w:line="300" w:lineRule="auto"/>
              <w:contextualSpacing/>
              <w:rPr>
                <w:rFonts w:ascii="Verdana" w:hAnsi="Verdana"/>
                <w:sz w:val="22"/>
                <w:szCs w:val="22"/>
              </w:rPr>
            </w:pPr>
            <w:r w:rsidRPr="00280E86">
              <w:rPr>
                <w:rFonts w:ascii="Verdana" w:hAnsi="Verdana"/>
                <w:sz w:val="22"/>
                <w:szCs w:val="22"/>
              </w:rPr>
              <w:t xml:space="preserve">оплату строительно-монтажных работ; </w:t>
            </w:r>
          </w:p>
          <w:p w:rsidR="00F74F72" w:rsidRPr="00280E86" w:rsidRDefault="00F74F72" w:rsidP="00F74F72">
            <w:pPr>
              <w:pStyle w:val="af8"/>
              <w:numPr>
                <w:ilvl w:val="0"/>
                <w:numId w:val="20"/>
              </w:numPr>
              <w:autoSpaceDE w:val="0"/>
              <w:autoSpaceDN w:val="0"/>
              <w:spacing w:line="300" w:lineRule="auto"/>
              <w:contextualSpacing/>
              <w:rPr>
                <w:rFonts w:ascii="Verdana" w:hAnsi="Verdana"/>
                <w:sz w:val="22"/>
                <w:szCs w:val="22"/>
              </w:rPr>
            </w:pPr>
            <w:r w:rsidRPr="00280E86">
              <w:rPr>
                <w:rFonts w:ascii="Verdana" w:hAnsi="Verdana"/>
                <w:sz w:val="22"/>
                <w:szCs w:val="22"/>
              </w:rPr>
              <w:t>приобретение (создание) следующего имущества: производственно-технологическое оборудование</w:t>
            </w:r>
            <w:r w:rsidRPr="00280E86">
              <w:rPr>
                <w:rFonts w:ascii="Verdana" w:hAnsi="Verdana"/>
                <w:color w:val="1F497D"/>
                <w:sz w:val="22"/>
                <w:szCs w:val="22"/>
              </w:rPr>
              <w:t>,</w:t>
            </w:r>
            <w:r w:rsidRPr="00280E86">
              <w:rPr>
                <w:rFonts w:ascii="Verdana" w:hAnsi="Verdana"/>
                <w:sz w:val="22"/>
                <w:szCs w:val="22"/>
              </w:rPr>
              <w:t xml:space="preserve"> техника, транспорт и инвентарь (включая затраты на таможенное оформление, доставку, монтаж, пуско-наладку), объекты недвижимости (включая земельные участки и объекты незавершенного строительства) (далее – Имущество).</w:t>
            </w:r>
          </w:p>
          <w:p w:rsidR="00F74F72" w:rsidRPr="00280E86" w:rsidRDefault="00F74F72" w:rsidP="003709F0">
            <w:pPr>
              <w:pStyle w:val="af8"/>
              <w:spacing w:line="300" w:lineRule="auto"/>
              <w:contextualSpacing/>
              <w:jc w:val="both"/>
              <w:rPr>
                <w:rFonts w:ascii="Verdana" w:hAnsi="Verdana" w:cs="Calibri"/>
                <w:color w:val="000000"/>
                <w:sz w:val="22"/>
                <w:szCs w:val="22"/>
                <w:lang w:eastAsia="ru-RU"/>
              </w:rPr>
            </w:pPr>
            <w:r w:rsidRPr="00280E86">
              <w:rPr>
                <w:rFonts w:ascii="Verdana" w:hAnsi="Verdana" w:cs="Calibri"/>
                <w:color w:val="000000"/>
                <w:sz w:val="22"/>
                <w:szCs w:val="22"/>
                <w:lang w:eastAsia="ru-RU"/>
              </w:rPr>
              <w:t xml:space="preserve">Денежные средства, внесенные (вносимые) в проект, источником происхождения которых является (будет являться) субсидия за счет средств бюджетов бюджетной системы Российской Федерации и (или) средства </w:t>
            </w:r>
            <w:r w:rsidRPr="00280E86">
              <w:rPr>
                <w:rFonts w:ascii="Verdana" w:hAnsi="Verdana" w:cs="Calibri"/>
                <w:color w:val="000000"/>
                <w:sz w:val="22"/>
                <w:szCs w:val="22"/>
                <w:lang w:eastAsia="ru-RU"/>
              </w:rPr>
              <w:lastRenderedPageBreak/>
              <w:t>возмещенного НДС в качестве собственного участия не учитываются.</w:t>
            </w:r>
          </w:p>
          <w:p w:rsidR="00F74F72" w:rsidRPr="00280E86" w:rsidRDefault="00F74F72" w:rsidP="003709F0">
            <w:pPr>
              <w:pStyle w:val="af8"/>
              <w:spacing w:line="300" w:lineRule="auto"/>
              <w:contextualSpacing/>
              <w:jc w:val="both"/>
              <w:rPr>
                <w:rFonts w:ascii="Verdana" w:hAnsi="Verdana" w:cs="Calibri"/>
                <w:color w:val="000000"/>
                <w:sz w:val="22"/>
                <w:szCs w:val="22"/>
                <w:lang w:eastAsia="ru-RU"/>
              </w:rPr>
            </w:pPr>
            <w:r w:rsidRPr="00280E86">
              <w:rPr>
                <w:rFonts w:ascii="Verdana" w:hAnsi="Verdana" w:cs="Calibri"/>
                <w:color w:val="000000"/>
                <w:sz w:val="22"/>
                <w:szCs w:val="22"/>
                <w:lang w:eastAsia="ru-RU"/>
              </w:rPr>
              <w:t>Собственное участие (пп.1, 2) вносится (оплачивается) в полном объеме до использования кредитных (заемных) средств, обеспечиваемых Независимой гарантией Корпорации.</w:t>
            </w:r>
          </w:p>
          <w:p w:rsidR="00F74F72" w:rsidRPr="00280E86" w:rsidRDefault="00F74F72" w:rsidP="003709F0">
            <w:pPr>
              <w:pStyle w:val="af8"/>
              <w:spacing w:line="300" w:lineRule="auto"/>
              <w:contextualSpacing/>
              <w:jc w:val="both"/>
              <w:rPr>
                <w:rFonts w:ascii="Verdana" w:hAnsi="Verdana"/>
                <w:sz w:val="22"/>
                <w:szCs w:val="22"/>
              </w:rPr>
            </w:pPr>
            <w:r w:rsidRPr="00280E86">
              <w:rPr>
                <w:rFonts w:ascii="Verdana" w:hAnsi="Verdana" w:cs="Calibri"/>
                <w:color w:val="000000"/>
                <w:sz w:val="22"/>
                <w:szCs w:val="22"/>
                <w:lang w:eastAsia="ru-RU"/>
              </w:rPr>
              <w:t>Корпорация вправе на любом этапе рассмотрения Заявки запросить отчет об оценке Имущества, подготовленного аккредитованным Финансовой организацией-партнером</w:t>
            </w:r>
            <w:r w:rsidRPr="00280E86">
              <w:rPr>
                <w:rFonts w:ascii="Verdana" w:hAnsi="Verdana"/>
                <w:sz w:val="22"/>
                <w:szCs w:val="22"/>
              </w:rPr>
              <w:t xml:space="preserve"> (в том числе </w:t>
            </w:r>
            <w:proofErr w:type="spellStart"/>
            <w:r w:rsidRPr="00280E86">
              <w:rPr>
                <w:rFonts w:ascii="Verdana" w:hAnsi="Verdana"/>
                <w:sz w:val="22"/>
                <w:szCs w:val="22"/>
              </w:rPr>
              <w:t>согарантом</w:t>
            </w:r>
            <w:proofErr w:type="spellEnd"/>
            <w:r w:rsidRPr="00280E86">
              <w:rPr>
                <w:rFonts w:ascii="Verdana" w:hAnsi="Verdana"/>
                <w:sz w:val="22"/>
                <w:szCs w:val="22"/>
              </w:rPr>
              <w:t xml:space="preserve">-Финансовой организацией-партнером) </w:t>
            </w:r>
            <w:r w:rsidRPr="00280E86">
              <w:rPr>
                <w:rFonts w:ascii="Verdana" w:hAnsi="Verdana" w:cs="Calibri"/>
                <w:color w:val="000000"/>
                <w:sz w:val="22"/>
                <w:szCs w:val="22"/>
                <w:lang w:eastAsia="ru-RU"/>
              </w:rPr>
              <w:t xml:space="preserve">или оценщиком из перечня оценочных организаций, </w:t>
            </w:r>
            <w:r w:rsidRPr="00280E86">
              <w:rPr>
                <w:rFonts w:ascii="Verdana" w:hAnsi="Verdana"/>
                <w:sz w:val="22"/>
                <w:szCs w:val="22"/>
              </w:rPr>
              <w:t>рекомендованных Министерством финансов Российской Федерации для проведения</w:t>
            </w:r>
            <w:r w:rsidRPr="00280E86">
              <w:rPr>
                <w:rFonts w:ascii="Verdana" w:hAnsi="Verdana" w:cs="Calibri"/>
                <w:color w:val="000000"/>
                <w:sz w:val="22"/>
                <w:szCs w:val="22"/>
                <w:lang w:eastAsia="ru-RU"/>
              </w:rPr>
              <w:t xml:space="preserve"> оценки рыночной стоимости активов</w:t>
            </w:r>
            <w:r>
              <w:rPr>
                <w:rStyle w:val="afa"/>
                <w:rFonts w:ascii="Verdana" w:eastAsia="Liberation Sans" w:hAnsi="Verdana" w:cs="Calibri"/>
                <w:color w:val="000000"/>
                <w:lang w:eastAsia="ru-RU"/>
              </w:rPr>
              <w:footnoteReference w:customMarkFollows="1" w:id="5"/>
              <w:t>3</w:t>
            </w:r>
            <w:r w:rsidRPr="00280E86">
              <w:rPr>
                <w:rFonts w:ascii="Verdana" w:hAnsi="Verdana" w:cs="Calibri"/>
                <w:color w:val="000000"/>
                <w:sz w:val="22"/>
                <w:szCs w:val="22"/>
                <w:lang w:eastAsia="ru-RU"/>
              </w:rPr>
              <w:t xml:space="preserve"> в целях определения его рыночной стоимости. </w:t>
            </w:r>
          </w:p>
        </w:tc>
      </w:tr>
      <w:tr w:rsidR="00F74F72" w:rsidRPr="007B48AE" w:rsidTr="003709F0">
        <w:trPr>
          <w:gridAfter w:val="1"/>
          <w:wAfter w:w="20" w:type="dxa"/>
          <w:trHeight w:val="56"/>
        </w:trPr>
        <w:tc>
          <w:tcPr>
            <w:tcW w:w="541" w:type="dxa"/>
          </w:tcPr>
          <w:p w:rsidR="00F74F72" w:rsidRPr="007B48AE" w:rsidRDefault="00F74F72" w:rsidP="00F74F72">
            <w:pPr>
              <w:pStyle w:val="af5"/>
              <w:numPr>
                <w:ilvl w:val="0"/>
                <w:numId w:val="18"/>
              </w:numPr>
              <w:tabs>
                <w:tab w:val="left" w:pos="1418"/>
              </w:tabs>
              <w:autoSpaceDE w:val="0"/>
              <w:autoSpaceDN w:val="0"/>
              <w:spacing w:line="300" w:lineRule="auto"/>
              <w:ind w:right="40"/>
              <w:contextualSpacing/>
              <w:rPr>
                <w:rFonts w:ascii="Verdana" w:hAnsi="Verdana"/>
              </w:rPr>
            </w:pPr>
          </w:p>
        </w:tc>
        <w:tc>
          <w:tcPr>
            <w:tcW w:w="1843" w:type="dxa"/>
          </w:tcPr>
          <w:p w:rsidR="00F74F72" w:rsidRPr="007B48AE" w:rsidRDefault="00F74F72" w:rsidP="003709F0">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Обеспечение процентных платежей</w:t>
            </w:r>
          </w:p>
        </w:tc>
        <w:tc>
          <w:tcPr>
            <w:tcW w:w="12984" w:type="dxa"/>
            <w:gridSpan w:val="2"/>
          </w:tcPr>
          <w:p w:rsidR="00F74F72" w:rsidRPr="00280E86" w:rsidRDefault="00F74F72" w:rsidP="003709F0">
            <w:pPr>
              <w:pStyle w:val="af8"/>
              <w:spacing w:line="300" w:lineRule="auto"/>
              <w:contextualSpacing/>
              <w:jc w:val="both"/>
              <w:rPr>
                <w:rFonts w:ascii="Verdana" w:hAnsi="Verdana"/>
                <w:sz w:val="22"/>
                <w:szCs w:val="22"/>
              </w:rPr>
            </w:pPr>
            <w:r w:rsidRPr="00280E86">
              <w:rPr>
                <w:rFonts w:ascii="Verdana" w:hAnsi="Verdana"/>
                <w:sz w:val="22"/>
                <w:szCs w:val="22"/>
              </w:rPr>
              <w:t>Под Обеспечением процентных платежей понимаются денежные средства, размещенные в Финансовой организации-партнере на залоговом счете (депозите) и (или) приобретенный вексель (векселя) Финансовой организации-партнера (оформленный в залог Финансовой организации-партнеру) для оплаты процентных платежей в течение инвестиционной фазы проекта.</w:t>
            </w:r>
          </w:p>
          <w:p w:rsidR="00F74F72" w:rsidRPr="00280E86" w:rsidRDefault="00F74F72" w:rsidP="003709F0">
            <w:pPr>
              <w:pStyle w:val="af8"/>
              <w:spacing w:line="300" w:lineRule="auto"/>
              <w:contextualSpacing/>
              <w:jc w:val="both"/>
              <w:rPr>
                <w:rFonts w:ascii="Verdana" w:hAnsi="Verdana"/>
                <w:sz w:val="22"/>
                <w:szCs w:val="22"/>
              </w:rPr>
            </w:pPr>
            <w:r w:rsidRPr="00280E86">
              <w:rPr>
                <w:rFonts w:ascii="Verdana" w:hAnsi="Verdana"/>
                <w:sz w:val="22"/>
                <w:szCs w:val="22"/>
              </w:rPr>
              <w:t>Обеспечение процентных платежей формируется в полном объеме до выдачи заемных средств в сумме:</w:t>
            </w:r>
          </w:p>
          <w:tbl>
            <w:tblPr>
              <w:tblW w:w="5000" w:type="pct"/>
              <w:tblLook w:val="04A0" w:firstRow="1" w:lastRow="0" w:firstColumn="1" w:lastColumn="0" w:noHBand="0" w:noVBand="1"/>
            </w:tblPr>
            <w:tblGrid>
              <w:gridCol w:w="712"/>
              <w:gridCol w:w="12056"/>
            </w:tblGrid>
            <w:tr w:rsidR="00F74F72" w:rsidRPr="00280E86" w:rsidTr="003709F0">
              <w:trPr>
                <w:trHeight w:val="53"/>
              </w:trPr>
              <w:tc>
                <w:tcPr>
                  <w:tcW w:w="279" w:type="pct"/>
                  <w:shd w:val="clear" w:color="000000" w:fill="FFFFFF"/>
                  <w:hideMark/>
                </w:tcPr>
                <w:p w:rsidR="00F74F72" w:rsidRPr="00280E86" w:rsidRDefault="00F74F72" w:rsidP="003709F0">
                  <w:pPr>
                    <w:spacing w:after="0" w:line="300" w:lineRule="auto"/>
                    <w:contextualSpacing/>
                    <w:jc w:val="both"/>
                    <w:rPr>
                      <w:rFonts w:ascii="Verdana" w:hAnsi="Verdana"/>
                      <w:iCs/>
                    </w:rPr>
                  </w:pPr>
                  <w:r w:rsidRPr="00280E86">
                    <w:rPr>
                      <w:rFonts w:ascii="Verdana" w:hAnsi="Verdana"/>
                      <w:iCs/>
                    </w:rPr>
                    <w:t>(+)</w:t>
                  </w:r>
                </w:p>
              </w:tc>
              <w:tc>
                <w:tcPr>
                  <w:tcW w:w="4721" w:type="pct"/>
                  <w:shd w:val="clear" w:color="000000" w:fill="FFFFFF"/>
                  <w:hideMark/>
                </w:tcPr>
                <w:p w:rsidR="00F74F72" w:rsidRPr="00280E86" w:rsidRDefault="00F74F72" w:rsidP="003709F0">
                  <w:pPr>
                    <w:spacing w:after="0" w:line="300" w:lineRule="auto"/>
                    <w:contextualSpacing/>
                    <w:jc w:val="both"/>
                    <w:rPr>
                      <w:rFonts w:ascii="Verdana" w:hAnsi="Verdana"/>
                      <w:iCs/>
                    </w:rPr>
                  </w:pPr>
                  <w:r w:rsidRPr="00280E86">
                    <w:rPr>
                      <w:rFonts w:ascii="Verdana" w:hAnsi="Verdana"/>
                    </w:rPr>
                    <w:t>комиссионного вознаграждения Корпорации по Независимой гарантии</w:t>
                  </w:r>
                  <w:r w:rsidRPr="00280E86">
                    <w:rPr>
                      <w:rFonts w:ascii="Verdana" w:hAnsi="Verdana"/>
                      <w:iCs/>
                    </w:rPr>
                    <w:t>;</w:t>
                  </w:r>
                </w:p>
              </w:tc>
            </w:tr>
            <w:tr w:rsidR="00F74F72" w:rsidRPr="00280E86" w:rsidTr="003709F0">
              <w:trPr>
                <w:trHeight w:val="395"/>
              </w:trPr>
              <w:tc>
                <w:tcPr>
                  <w:tcW w:w="279" w:type="pct"/>
                  <w:shd w:val="clear" w:color="000000" w:fill="FFFFFF"/>
                </w:tcPr>
                <w:p w:rsidR="00F74F72" w:rsidRPr="00280E86" w:rsidRDefault="00F74F72" w:rsidP="003709F0">
                  <w:pPr>
                    <w:spacing w:after="0" w:line="300" w:lineRule="auto"/>
                    <w:contextualSpacing/>
                    <w:jc w:val="both"/>
                    <w:rPr>
                      <w:rFonts w:ascii="Verdana" w:hAnsi="Verdana"/>
                      <w:iCs/>
                    </w:rPr>
                  </w:pPr>
                  <w:r w:rsidRPr="00280E86">
                    <w:rPr>
                      <w:rFonts w:ascii="Verdana" w:hAnsi="Verdana"/>
                      <w:iCs/>
                    </w:rPr>
                    <w:t>(+)</w:t>
                  </w:r>
                </w:p>
              </w:tc>
              <w:tc>
                <w:tcPr>
                  <w:tcW w:w="4721" w:type="pct"/>
                  <w:shd w:val="clear" w:color="000000" w:fill="FFFFFF"/>
                </w:tcPr>
                <w:p w:rsidR="00F74F72" w:rsidRPr="00280E86" w:rsidRDefault="00F74F72" w:rsidP="003709F0">
                  <w:pPr>
                    <w:spacing w:after="0" w:line="300" w:lineRule="auto"/>
                    <w:contextualSpacing/>
                    <w:jc w:val="both"/>
                    <w:rPr>
                      <w:rFonts w:ascii="Verdana" w:hAnsi="Verdana"/>
                      <w:iCs/>
                    </w:rPr>
                  </w:pPr>
                  <w:r w:rsidRPr="00280E86">
                    <w:rPr>
                      <w:rFonts w:ascii="Verdana" w:hAnsi="Verdana"/>
                    </w:rPr>
                    <w:t>процентов, подлежащих уплате на инвестиционной фазе проекта согласно утверждаемому (утвержденному) графику использования кредитных (заемных) средств</w:t>
                  </w:r>
                  <w:r w:rsidRPr="00280E86">
                    <w:rPr>
                      <w:rFonts w:ascii="Verdana" w:hAnsi="Verdana"/>
                      <w:iCs/>
                    </w:rPr>
                    <w:t>;</w:t>
                  </w:r>
                </w:p>
              </w:tc>
            </w:tr>
          </w:tbl>
          <w:p w:rsidR="00F74F72" w:rsidRPr="00280E86" w:rsidRDefault="00F74F72" w:rsidP="003709F0">
            <w:pPr>
              <w:pStyle w:val="af8"/>
              <w:spacing w:line="300" w:lineRule="auto"/>
              <w:contextualSpacing/>
              <w:jc w:val="both"/>
              <w:rPr>
                <w:rFonts w:ascii="Verdana" w:hAnsi="Verdana"/>
              </w:rPr>
            </w:pPr>
            <w:r w:rsidRPr="00280E86">
              <w:rPr>
                <w:rFonts w:ascii="Verdana" w:hAnsi="Verdana"/>
                <w:sz w:val="22"/>
                <w:szCs w:val="22"/>
              </w:rPr>
              <w:t xml:space="preserve">В случае, наличия поручительств участника (участников) Группы (а также их учредителей), финансовые показатели которых на Актуальную дату (с учетом обязательств по уплате процентов и комиссионного вознаграждения Корпорации в течение инвестиционной фазы проекта) соответствуют риск-метрикам Проектов, направленных на финансирование инвестиций в рамках текущей деятельности обеспечение процентных платежей </w:t>
            </w:r>
            <w:r>
              <w:rPr>
                <w:rFonts w:ascii="Verdana" w:hAnsi="Verdana"/>
                <w:sz w:val="22"/>
                <w:szCs w:val="22"/>
              </w:rPr>
              <w:t>не требуется</w:t>
            </w:r>
            <w:r>
              <w:rPr>
                <w:rStyle w:val="afa"/>
                <w:rFonts w:ascii="Verdana" w:eastAsia="Liberation Sans" w:hAnsi="Verdana"/>
              </w:rPr>
              <w:footnoteReference w:customMarkFollows="1" w:id="6"/>
              <w:t>4</w:t>
            </w:r>
            <w:r>
              <w:rPr>
                <w:rFonts w:ascii="Verdana" w:hAnsi="Verdana"/>
                <w:sz w:val="22"/>
                <w:szCs w:val="22"/>
              </w:rPr>
              <w:t>.</w:t>
            </w:r>
          </w:p>
        </w:tc>
      </w:tr>
    </w:tbl>
    <w:p w:rsidR="00F74F72" w:rsidRDefault="00F74F72" w:rsidP="00F74F72"/>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bookmarkStart w:id="0" w:name="_GoBack"/>
      <w:bookmarkEnd w:id="0"/>
    </w:p>
    <w:p w:rsidR="00F74F72" w:rsidRDefault="00F74F72">
      <w:pPr>
        <w:tabs>
          <w:tab w:val="left" w:pos="1418"/>
        </w:tabs>
        <w:spacing w:after="0" w:line="300" w:lineRule="auto"/>
        <w:ind w:right="40"/>
        <w:contextualSpacing/>
        <w:jc w:val="center"/>
        <w:rPr>
          <w:rFonts w:ascii="Verdana" w:hAnsi="Verdana"/>
          <w:b/>
        </w:rPr>
      </w:pPr>
    </w:p>
    <w:p w:rsidR="00F74F72" w:rsidRDefault="00F74F72">
      <w:pPr>
        <w:tabs>
          <w:tab w:val="left" w:pos="1418"/>
        </w:tabs>
        <w:spacing w:after="0" w:line="300" w:lineRule="auto"/>
        <w:ind w:right="40"/>
        <w:contextualSpacing/>
        <w:jc w:val="center"/>
        <w:rPr>
          <w:rFonts w:ascii="Verdana" w:hAnsi="Verdana"/>
          <w:b/>
        </w:rPr>
      </w:pPr>
    </w:p>
    <w:sectPr w:rsidR="00F74F7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512" w:rsidRDefault="00F37512">
      <w:pPr>
        <w:spacing w:after="0" w:line="240" w:lineRule="auto"/>
      </w:pPr>
      <w:r>
        <w:separator/>
      </w:r>
    </w:p>
  </w:endnote>
  <w:endnote w:type="continuationSeparator" w:id="0">
    <w:p w:rsidR="00F37512" w:rsidRDefault="00F3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512" w:rsidRDefault="00F37512">
      <w:pPr>
        <w:spacing w:after="0" w:line="240" w:lineRule="auto"/>
      </w:pPr>
      <w:r>
        <w:separator/>
      </w:r>
    </w:p>
  </w:footnote>
  <w:footnote w:type="continuationSeparator" w:id="0">
    <w:p w:rsidR="00F37512" w:rsidRDefault="00F37512">
      <w:pPr>
        <w:spacing w:after="0" w:line="240" w:lineRule="auto"/>
      </w:pPr>
      <w:r>
        <w:continuationSeparator/>
      </w:r>
    </w:p>
  </w:footnote>
  <w:footnote w:id="1">
    <w:p w:rsidR="003138F9" w:rsidRDefault="00007376">
      <w:pPr>
        <w:spacing w:after="0" w:line="300" w:lineRule="auto"/>
        <w:contextualSpacing/>
        <w:jc w:val="both"/>
        <w:rPr>
          <w:rFonts w:ascii="Verdana" w:hAnsi="Verdana" w:cs="Arial"/>
          <w:sz w:val="18"/>
          <w:szCs w:val="18"/>
        </w:rPr>
      </w:pPr>
      <w:r>
        <w:rPr>
          <w:rStyle w:val="afa"/>
          <w:rFonts w:ascii="Verdana" w:hAnsi="Verdana"/>
          <w:sz w:val="16"/>
          <w:szCs w:val="16"/>
        </w:rPr>
        <w:footnoteRef/>
      </w:r>
      <w:r>
        <w:rPr>
          <w:rFonts w:ascii="Verdana" w:hAnsi="Verdana"/>
          <w:sz w:val="16"/>
          <w:szCs w:val="16"/>
        </w:rPr>
        <w:t xml:space="preserve"> </w:t>
      </w:r>
      <w:r>
        <w:rPr>
          <w:rFonts w:ascii="Verdana" w:hAnsi="Verdana"/>
          <w:sz w:val="18"/>
          <w:szCs w:val="18"/>
        </w:rPr>
        <w:t xml:space="preserve">Расчет показателей осуществляется в соответствии </w:t>
      </w:r>
      <w:r w:rsidR="00F74F72">
        <w:rPr>
          <w:rFonts w:ascii="Verdana" w:hAnsi="Verdana"/>
          <w:sz w:val="18"/>
          <w:szCs w:val="18"/>
        </w:rPr>
        <w:t>с Методикой расчета показателей</w:t>
      </w:r>
      <w:r>
        <w:rPr>
          <w:rFonts w:ascii="Verdana" w:hAnsi="Verdana"/>
          <w:sz w:val="18"/>
          <w:szCs w:val="18"/>
        </w:rPr>
        <w:t>.</w:t>
      </w:r>
    </w:p>
  </w:footnote>
  <w:footnote w:id="2">
    <w:p w:rsidR="003138F9" w:rsidRDefault="00007376">
      <w:pPr>
        <w:pStyle w:val="af8"/>
      </w:pPr>
      <w:r>
        <w:rPr>
          <w:rStyle w:val="afa"/>
          <w:rFonts w:ascii="Verdana" w:hAnsi="Verdana"/>
          <w:sz w:val="18"/>
          <w:szCs w:val="18"/>
        </w:rPr>
        <w:t>2</w:t>
      </w:r>
      <w:r>
        <w:rPr>
          <w:rFonts w:ascii="Verdana" w:hAnsi="Verdana"/>
          <w:sz w:val="18"/>
          <w:szCs w:val="18"/>
        </w:rPr>
        <w:t xml:space="preserve"> </w:t>
      </w:r>
      <w:r>
        <w:rPr>
          <w:rFonts w:ascii="Verdana" w:hAnsi="Verdana"/>
          <w:iCs/>
          <w:sz w:val="18"/>
          <w:szCs w:val="18"/>
        </w:rPr>
        <w:t>Среднегодовое значение, рассчитываемое на эксплуатационной фазе проекта.</w:t>
      </w:r>
    </w:p>
  </w:footnote>
  <w:footnote w:id="3">
    <w:p w:rsidR="00F74F72" w:rsidRDefault="00F74F72" w:rsidP="00F74F72">
      <w:pPr>
        <w:pStyle w:val="af8"/>
      </w:pPr>
      <w:r>
        <w:rPr>
          <w:rStyle w:val="afa"/>
          <w:rFonts w:eastAsia="Liberation Sans"/>
        </w:rPr>
        <w:t>1</w:t>
      </w:r>
      <w:r>
        <w:t xml:space="preserve"> </w:t>
      </w:r>
      <w:r w:rsidRPr="00437E8C">
        <w:rPr>
          <w:rFonts w:ascii="Verdana" w:hAnsi="Verdana"/>
          <w:sz w:val="18"/>
          <w:szCs w:val="18"/>
        </w:rPr>
        <w:t xml:space="preserve">С учетом установленных (устанавливаемых) Финансовой организацией-партнером </w:t>
      </w:r>
      <w:proofErr w:type="spellStart"/>
      <w:r w:rsidRPr="00437E8C">
        <w:rPr>
          <w:rFonts w:ascii="Verdana" w:hAnsi="Verdana"/>
          <w:sz w:val="18"/>
          <w:szCs w:val="18"/>
        </w:rPr>
        <w:t>ковенантов</w:t>
      </w:r>
      <w:proofErr w:type="spellEnd"/>
      <w:r w:rsidRPr="00437E8C">
        <w:rPr>
          <w:rFonts w:ascii="Verdana" w:hAnsi="Verdana"/>
          <w:sz w:val="18"/>
          <w:szCs w:val="18"/>
        </w:rPr>
        <w:t xml:space="preserve">, ограничивающих размер задолженности </w:t>
      </w:r>
      <w:r>
        <w:rPr>
          <w:rFonts w:ascii="Verdana" w:hAnsi="Verdana"/>
          <w:sz w:val="18"/>
          <w:szCs w:val="18"/>
        </w:rPr>
        <w:t xml:space="preserve">Заемщика (Группы) </w:t>
      </w:r>
      <w:r w:rsidRPr="00437E8C">
        <w:rPr>
          <w:rFonts w:ascii="Verdana" w:hAnsi="Verdana"/>
          <w:sz w:val="18"/>
          <w:szCs w:val="18"/>
        </w:rPr>
        <w:t>по заключенным кредитным договорам и (или) договорам займов.</w:t>
      </w:r>
    </w:p>
  </w:footnote>
  <w:footnote w:id="4">
    <w:p w:rsidR="00F74F72" w:rsidRDefault="00F74F72" w:rsidP="00F74F72">
      <w:pPr>
        <w:pStyle w:val="af8"/>
      </w:pPr>
      <w:r>
        <w:rPr>
          <w:rStyle w:val="afa"/>
          <w:rFonts w:eastAsia="Liberation Sans"/>
        </w:rPr>
        <w:t>2</w:t>
      </w:r>
      <w:r>
        <w:t xml:space="preserve"> </w:t>
      </w:r>
      <w:r w:rsidRPr="007F775D">
        <w:rPr>
          <w:rFonts w:ascii="Verdana" w:hAnsi="Verdana"/>
          <w:sz w:val="18"/>
          <w:szCs w:val="18"/>
        </w:rPr>
        <w:t>Без учета процентных платежей.</w:t>
      </w:r>
    </w:p>
  </w:footnote>
  <w:footnote w:id="5">
    <w:p w:rsidR="00F74F72" w:rsidRDefault="00F74F72" w:rsidP="00F74F72">
      <w:pPr>
        <w:pStyle w:val="af8"/>
      </w:pPr>
      <w:r>
        <w:rPr>
          <w:rStyle w:val="afa"/>
          <w:rFonts w:eastAsia="Liberation Sans"/>
        </w:rPr>
        <w:t>3</w:t>
      </w:r>
      <w:r>
        <w:t xml:space="preserve"> </w:t>
      </w:r>
      <w:hyperlink r:id="rId1" w:history="1">
        <w:r w:rsidRPr="006F5994">
          <w:rPr>
            <w:rStyle w:val="aff4"/>
            <w:rFonts w:ascii="Verdana" w:eastAsia="Calibri" w:hAnsi="Verdana"/>
            <w:sz w:val="18"/>
            <w:szCs w:val="18"/>
          </w:rPr>
          <w:t>https://minfin.gov.ru/common/upload/library/2023/07/main/Spisok_otsenochnykh.docx?ysclid=mjn49gv0ud590880247</w:t>
        </w:r>
      </w:hyperlink>
    </w:p>
  </w:footnote>
  <w:footnote w:id="6">
    <w:p w:rsidR="00F74F72" w:rsidRDefault="00F74F72" w:rsidP="00F74F72">
      <w:pPr>
        <w:pStyle w:val="af8"/>
      </w:pPr>
      <w:r>
        <w:rPr>
          <w:rStyle w:val="afa"/>
          <w:rFonts w:eastAsia="Liberation Sans"/>
        </w:rPr>
        <w:t>4</w:t>
      </w:r>
      <w:r>
        <w:t xml:space="preserve"> </w:t>
      </w:r>
      <w:r w:rsidRPr="008F329C">
        <w:rPr>
          <w:rFonts w:ascii="Verdana" w:hAnsi="Verdana"/>
          <w:sz w:val="18"/>
          <w:szCs w:val="18"/>
        </w:rPr>
        <w:t xml:space="preserve">При условии установления Финансовой организацией-партнером </w:t>
      </w:r>
      <w:proofErr w:type="spellStart"/>
      <w:r w:rsidRPr="008F329C">
        <w:rPr>
          <w:rFonts w:ascii="Verdana" w:hAnsi="Verdana"/>
          <w:sz w:val="18"/>
          <w:szCs w:val="18"/>
        </w:rPr>
        <w:t>ковенантов</w:t>
      </w:r>
      <w:proofErr w:type="spellEnd"/>
      <w:r w:rsidRPr="008F329C">
        <w:rPr>
          <w:rFonts w:ascii="Verdana" w:hAnsi="Verdana"/>
          <w:sz w:val="18"/>
          <w:szCs w:val="18"/>
        </w:rPr>
        <w:t>, ограничивающих размер задолженности Заемщика (Группы) по заключенным (вновь заключаемым) кредитным договорам и (или) договорам займов с учетом значения показателя «</w:t>
      </w:r>
      <w:r w:rsidRPr="00E72069">
        <w:rPr>
          <w:rFonts w:ascii="Verdana" w:hAnsi="Verdana"/>
          <w:color w:val="000000"/>
          <w:sz w:val="18"/>
          <w:szCs w:val="18"/>
          <w:lang w:val="en-US" w:eastAsia="ru-RU"/>
        </w:rPr>
        <w:t>EBIT</w:t>
      </w:r>
      <w:r w:rsidRPr="00E72069">
        <w:rPr>
          <w:rFonts w:ascii="Verdana" w:hAnsi="Verdana"/>
          <w:color w:val="000000"/>
          <w:sz w:val="18"/>
          <w:szCs w:val="18"/>
          <w:lang w:eastAsia="ru-RU"/>
        </w:rPr>
        <w:t xml:space="preserve"> / Проценты к уплате» на уровне целевых значений риск-метрик, рассчитанных в соответствии с Методикой</w:t>
      </w:r>
      <w:r w:rsidRPr="008F329C">
        <w:rPr>
          <w:rFonts w:ascii="Verdana" w:hAnsi="Verdana"/>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A0F"/>
    <w:multiLevelType w:val="hybridMultilevel"/>
    <w:tmpl w:val="8E8E474C"/>
    <w:lvl w:ilvl="0" w:tplc="80BACA06">
      <w:start w:val="1"/>
      <w:numFmt w:val="decimal"/>
      <w:lvlText w:val="%1."/>
      <w:lvlJc w:val="left"/>
      <w:pPr>
        <w:ind w:left="360" w:hanging="360"/>
      </w:pPr>
    </w:lvl>
    <w:lvl w:ilvl="1" w:tplc="05C21D14">
      <w:start w:val="1"/>
      <w:numFmt w:val="lowerLetter"/>
      <w:lvlText w:val="%2."/>
      <w:lvlJc w:val="left"/>
      <w:pPr>
        <w:ind w:left="1080" w:hanging="360"/>
      </w:pPr>
    </w:lvl>
    <w:lvl w:ilvl="2" w:tplc="E880230E">
      <w:start w:val="1"/>
      <w:numFmt w:val="lowerRoman"/>
      <w:lvlText w:val="%3."/>
      <w:lvlJc w:val="right"/>
      <w:pPr>
        <w:ind w:left="1800" w:hanging="180"/>
      </w:pPr>
    </w:lvl>
    <w:lvl w:ilvl="3" w:tplc="528AEFCA">
      <w:start w:val="1"/>
      <w:numFmt w:val="decimal"/>
      <w:lvlText w:val="%4."/>
      <w:lvlJc w:val="left"/>
      <w:pPr>
        <w:ind w:left="2520" w:hanging="360"/>
      </w:pPr>
    </w:lvl>
    <w:lvl w:ilvl="4" w:tplc="9A1EDD70">
      <w:start w:val="1"/>
      <w:numFmt w:val="lowerLetter"/>
      <w:lvlText w:val="%5."/>
      <w:lvlJc w:val="left"/>
      <w:pPr>
        <w:ind w:left="3240" w:hanging="360"/>
      </w:pPr>
    </w:lvl>
    <w:lvl w:ilvl="5" w:tplc="D02CAF5C">
      <w:start w:val="1"/>
      <w:numFmt w:val="lowerRoman"/>
      <w:lvlText w:val="%6."/>
      <w:lvlJc w:val="right"/>
      <w:pPr>
        <w:ind w:left="3960" w:hanging="180"/>
      </w:pPr>
    </w:lvl>
    <w:lvl w:ilvl="6" w:tplc="DC1CC1D4">
      <w:start w:val="1"/>
      <w:numFmt w:val="decimal"/>
      <w:lvlText w:val="%7."/>
      <w:lvlJc w:val="left"/>
      <w:pPr>
        <w:ind w:left="4680" w:hanging="360"/>
      </w:pPr>
    </w:lvl>
    <w:lvl w:ilvl="7" w:tplc="94A86E6A">
      <w:start w:val="1"/>
      <w:numFmt w:val="lowerLetter"/>
      <w:lvlText w:val="%8."/>
      <w:lvlJc w:val="left"/>
      <w:pPr>
        <w:ind w:left="5400" w:hanging="360"/>
      </w:pPr>
    </w:lvl>
    <w:lvl w:ilvl="8" w:tplc="68363B62">
      <w:start w:val="1"/>
      <w:numFmt w:val="lowerRoman"/>
      <w:lvlText w:val="%9."/>
      <w:lvlJc w:val="right"/>
      <w:pPr>
        <w:ind w:left="6120" w:hanging="180"/>
      </w:pPr>
    </w:lvl>
  </w:abstractNum>
  <w:abstractNum w:abstractNumId="1" w15:restartNumberingAfterBreak="0">
    <w:nsid w:val="096932B6"/>
    <w:multiLevelType w:val="hybridMultilevel"/>
    <w:tmpl w:val="5010C7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2C30491"/>
    <w:multiLevelType w:val="hybridMultilevel"/>
    <w:tmpl w:val="97E81CF6"/>
    <w:lvl w:ilvl="0" w:tplc="574688B2">
      <w:start w:val="1"/>
      <w:numFmt w:val="bullet"/>
      <w:lvlText w:val=""/>
      <w:lvlJc w:val="left"/>
      <w:pPr>
        <w:tabs>
          <w:tab w:val="num" w:pos="720"/>
        </w:tabs>
        <w:ind w:left="720" w:hanging="360"/>
      </w:pPr>
      <w:rPr>
        <w:rFonts w:ascii="Symbol" w:hAnsi="Symbol" w:hint="default"/>
        <w:sz w:val="20"/>
      </w:rPr>
    </w:lvl>
    <w:lvl w:ilvl="1" w:tplc="9CFA90CA">
      <w:start w:val="1"/>
      <w:numFmt w:val="bullet"/>
      <w:lvlText w:val="o"/>
      <w:lvlJc w:val="left"/>
      <w:pPr>
        <w:tabs>
          <w:tab w:val="num" w:pos="1440"/>
        </w:tabs>
        <w:ind w:left="1440" w:hanging="360"/>
      </w:pPr>
      <w:rPr>
        <w:rFonts w:ascii="Courier New" w:hAnsi="Courier New" w:hint="default"/>
        <w:sz w:val="20"/>
      </w:rPr>
    </w:lvl>
    <w:lvl w:ilvl="2" w:tplc="31B2D3E6">
      <w:start w:val="1"/>
      <w:numFmt w:val="bullet"/>
      <w:lvlText w:val=""/>
      <w:lvlJc w:val="left"/>
      <w:pPr>
        <w:tabs>
          <w:tab w:val="num" w:pos="2160"/>
        </w:tabs>
        <w:ind w:left="2160" w:hanging="360"/>
      </w:pPr>
      <w:rPr>
        <w:rFonts w:ascii="Wingdings" w:hAnsi="Wingdings" w:hint="default"/>
        <w:sz w:val="20"/>
      </w:rPr>
    </w:lvl>
    <w:lvl w:ilvl="3" w:tplc="9FB427E8">
      <w:start w:val="1"/>
      <w:numFmt w:val="bullet"/>
      <w:lvlText w:val=""/>
      <w:lvlJc w:val="left"/>
      <w:pPr>
        <w:tabs>
          <w:tab w:val="num" w:pos="2880"/>
        </w:tabs>
        <w:ind w:left="2880" w:hanging="360"/>
      </w:pPr>
      <w:rPr>
        <w:rFonts w:ascii="Wingdings" w:hAnsi="Wingdings" w:hint="default"/>
        <w:sz w:val="20"/>
      </w:rPr>
    </w:lvl>
    <w:lvl w:ilvl="4" w:tplc="55589F96">
      <w:start w:val="1"/>
      <w:numFmt w:val="bullet"/>
      <w:lvlText w:val=""/>
      <w:lvlJc w:val="left"/>
      <w:pPr>
        <w:tabs>
          <w:tab w:val="num" w:pos="3600"/>
        </w:tabs>
        <w:ind w:left="3600" w:hanging="360"/>
      </w:pPr>
      <w:rPr>
        <w:rFonts w:ascii="Wingdings" w:hAnsi="Wingdings" w:hint="default"/>
        <w:sz w:val="20"/>
      </w:rPr>
    </w:lvl>
    <w:lvl w:ilvl="5" w:tplc="EF343820">
      <w:start w:val="1"/>
      <w:numFmt w:val="bullet"/>
      <w:lvlText w:val=""/>
      <w:lvlJc w:val="left"/>
      <w:pPr>
        <w:tabs>
          <w:tab w:val="num" w:pos="4320"/>
        </w:tabs>
        <w:ind w:left="4320" w:hanging="360"/>
      </w:pPr>
      <w:rPr>
        <w:rFonts w:ascii="Wingdings" w:hAnsi="Wingdings" w:hint="default"/>
        <w:sz w:val="20"/>
      </w:rPr>
    </w:lvl>
    <w:lvl w:ilvl="6" w:tplc="6FC67144">
      <w:start w:val="1"/>
      <w:numFmt w:val="bullet"/>
      <w:lvlText w:val=""/>
      <w:lvlJc w:val="left"/>
      <w:pPr>
        <w:tabs>
          <w:tab w:val="num" w:pos="5040"/>
        </w:tabs>
        <w:ind w:left="5040" w:hanging="360"/>
      </w:pPr>
      <w:rPr>
        <w:rFonts w:ascii="Wingdings" w:hAnsi="Wingdings" w:hint="default"/>
        <w:sz w:val="20"/>
      </w:rPr>
    </w:lvl>
    <w:lvl w:ilvl="7" w:tplc="AD447AFA">
      <w:start w:val="1"/>
      <w:numFmt w:val="bullet"/>
      <w:lvlText w:val=""/>
      <w:lvlJc w:val="left"/>
      <w:pPr>
        <w:tabs>
          <w:tab w:val="num" w:pos="5760"/>
        </w:tabs>
        <w:ind w:left="5760" w:hanging="360"/>
      </w:pPr>
      <w:rPr>
        <w:rFonts w:ascii="Wingdings" w:hAnsi="Wingdings" w:hint="default"/>
        <w:sz w:val="20"/>
      </w:rPr>
    </w:lvl>
    <w:lvl w:ilvl="8" w:tplc="2BE4292E">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51BD8"/>
    <w:multiLevelType w:val="hybridMultilevel"/>
    <w:tmpl w:val="DC4CF746"/>
    <w:lvl w:ilvl="0" w:tplc="F8404AC2">
      <w:start w:val="1"/>
      <w:numFmt w:val="bullet"/>
      <w:lvlText w:val=""/>
      <w:lvlJc w:val="left"/>
      <w:pPr>
        <w:ind w:left="720" w:hanging="360"/>
      </w:pPr>
      <w:rPr>
        <w:rFonts w:ascii="Symbol" w:hAnsi="Symbol" w:hint="default"/>
      </w:rPr>
    </w:lvl>
    <w:lvl w:ilvl="1" w:tplc="4FE6A232">
      <w:start w:val="1"/>
      <w:numFmt w:val="bullet"/>
      <w:lvlText w:val="o"/>
      <w:lvlJc w:val="left"/>
      <w:pPr>
        <w:ind w:left="1440" w:hanging="360"/>
      </w:pPr>
      <w:rPr>
        <w:rFonts w:ascii="Courier New" w:hAnsi="Courier New" w:cs="Courier New" w:hint="default"/>
      </w:rPr>
    </w:lvl>
    <w:lvl w:ilvl="2" w:tplc="DF7E6A56">
      <w:start w:val="1"/>
      <w:numFmt w:val="bullet"/>
      <w:lvlText w:val=""/>
      <w:lvlJc w:val="left"/>
      <w:pPr>
        <w:ind w:left="2160" w:hanging="360"/>
      </w:pPr>
      <w:rPr>
        <w:rFonts w:ascii="Wingdings" w:hAnsi="Wingdings" w:hint="default"/>
      </w:rPr>
    </w:lvl>
    <w:lvl w:ilvl="3" w:tplc="06E6FFB4">
      <w:start w:val="1"/>
      <w:numFmt w:val="bullet"/>
      <w:lvlText w:val=""/>
      <w:lvlJc w:val="left"/>
      <w:pPr>
        <w:ind w:left="2880" w:hanging="360"/>
      </w:pPr>
      <w:rPr>
        <w:rFonts w:ascii="Symbol" w:hAnsi="Symbol" w:hint="default"/>
      </w:rPr>
    </w:lvl>
    <w:lvl w:ilvl="4" w:tplc="4770E5C2">
      <w:start w:val="1"/>
      <w:numFmt w:val="bullet"/>
      <w:lvlText w:val="o"/>
      <w:lvlJc w:val="left"/>
      <w:pPr>
        <w:ind w:left="3600" w:hanging="360"/>
      </w:pPr>
      <w:rPr>
        <w:rFonts w:ascii="Courier New" w:hAnsi="Courier New" w:cs="Courier New" w:hint="default"/>
      </w:rPr>
    </w:lvl>
    <w:lvl w:ilvl="5" w:tplc="04708048">
      <w:start w:val="1"/>
      <w:numFmt w:val="bullet"/>
      <w:lvlText w:val=""/>
      <w:lvlJc w:val="left"/>
      <w:pPr>
        <w:ind w:left="4320" w:hanging="360"/>
      </w:pPr>
      <w:rPr>
        <w:rFonts w:ascii="Wingdings" w:hAnsi="Wingdings" w:hint="default"/>
      </w:rPr>
    </w:lvl>
    <w:lvl w:ilvl="6" w:tplc="C0F8626A">
      <w:start w:val="1"/>
      <w:numFmt w:val="bullet"/>
      <w:lvlText w:val=""/>
      <w:lvlJc w:val="left"/>
      <w:pPr>
        <w:ind w:left="5040" w:hanging="360"/>
      </w:pPr>
      <w:rPr>
        <w:rFonts w:ascii="Symbol" w:hAnsi="Symbol" w:hint="default"/>
      </w:rPr>
    </w:lvl>
    <w:lvl w:ilvl="7" w:tplc="F918AC9A">
      <w:start w:val="1"/>
      <w:numFmt w:val="bullet"/>
      <w:lvlText w:val="o"/>
      <w:lvlJc w:val="left"/>
      <w:pPr>
        <w:ind w:left="5760" w:hanging="360"/>
      </w:pPr>
      <w:rPr>
        <w:rFonts w:ascii="Courier New" w:hAnsi="Courier New" w:cs="Courier New" w:hint="default"/>
      </w:rPr>
    </w:lvl>
    <w:lvl w:ilvl="8" w:tplc="2BC4796C">
      <w:start w:val="1"/>
      <w:numFmt w:val="bullet"/>
      <w:lvlText w:val=""/>
      <w:lvlJc w:val="left"/>
      <w:pPr>
        <w:ind w:left="6480" w:hanging="360"/>
      </w:pPr>
      <w:rPr>
        <w:rFonts w:ascii="Wingdings" w:hAnsi="Wingdings" w:hint="default"/>
      </w:rPr>
    </w:lvl>
  </w:abstractNum>
  <w:abstractNum w:abstractNumId="4" w15:restartNumberingAfterBreak="0">
    <w:nsid w:val="1C0349D0"/>
    <w:multiLevelType w:val="hybridMultilevel"/>
    <w:tmpl w:val="DD0A4976"/>
    <w:lvl w:ilvl="0" w:tplc="C5140336">
      <w:start w:val="1"/>
      <w:numFmt w:val="bullet"/>
      <w:lvlText w:val=""/>
      <w:lvlJc w:val="left"/>
      <w:pPr>
        <w:ind w:left="720" w:hanging="360"/>
      </w:pPr>
      <w:rPr>
        <w:rFonts w:ascii="Symbol" w:hAnsi="Symbol" w:hint="default"/>
      </w:rPr>
    </w:lvl>
    <w:lvl w:ilvl="1" w:tplc="730AE560">
      <w:start w:val="1"/>
      <w:numFmt w:val="bullet"/>
      <w:lvlText w:val="o"/>
      <w:lvlJc w:val="left"/>
      <w:pPr>
        <w:ind w:left="1440" w:hanging="360"/>
      </w:pPr>
      <w:rPr>
        <w:rFonts w:ascii="Courier New" w:hAnsi="Courier New" w:cs="Courier New" w:hint="default"/>
      </w:rPr>
    </w:lvl>
    <w:lvl w:ilvl="2" w:tplc="50F4FE3E">
      <w:start w:val="1"/>
      <w:numFmt w:val="bullet"/>
      <w:lvlText w:val=""/>
      <w:lvlJc w:val="left"/>
      <w:pPr>
        <w:ind w:left="2160" w:hanging="360"/>
      </w:pPr>
      <w:rPr>
        <w:rFonts w:ascii="Wingdings" w:hAnsi="Wingdings" w:hint="default"/>
      </w:rPr>
    </w:lvl>
    <w:lvl w:ilvl="3" w:tplc="3FB2D97A">
      <w:start w:val="1"/>
      <w:numFmt w:val="bullet"/>
      <w:lvlText w:val=""/>
      <w:lvlJc w:val="left"/>
      <w:pPr>
        <w:ind w:left="2880" w:hanging="360"/>
      </w:pPr>
      <w:rPr>
        <w:rFonts w:ascii="Symbol" w:hAnsi="Symbol" w:hint="default"/>
      </w:rPr>
    </w:lvl>
    <w:lvl w:ilvl="4" w:tplc="A3A0E3AE">
      <w:start w:val="1"/>
      <w:numFmt w:val="bullet"/>
      <w:lvlText w:val="o"/>
      <w:lvlJc w:val="left"/>
      <w:pPr>
        <w:ind w:left="3600" w:hanging="360"/>
      </w:pPr>
      <w:rPr>
        <w:rFonts w:ascii="Courier New" w:hAnsi="Courier New" w:cs="Courier New" w:hint="default"/>
      </w:rPr>
    </w:lvl>
    <w:lvl w:ilvl="5" w:tplc="4FD4103C">
      <w:start w:val="1"/>
      <w:numFmt w:val="bullet"/>
      <w:lvlText w:val=""/>
      <w:lvlJc w:val="left"/>
      <w:pPr>
        <w:ind w:left="4320" w:hanging="360"/>
      </w:pPr>
      <w:rPr>
        <w:rFonts w:ascii="Wingdings" w:hAnsi="Wingdings" w:hint="default"/>
      </w:rPr>
    </w:lvl>
    <w:lvl w:ilvl="6" w:tplc="2A0C693E">
      <w:start w:val="1"/>
      <w:numFmt w:val="bullet"/>
      <w:lvlText w:val=""/>
      <w:lvlJc w:val="left"/>
      <w:pPr>
        <w:ind w:left="5040" w:hanging="360"/>
      </w:pPr>
      <w:rPr>
        <w:rFonts w:ascii="Symbol" w:hAnsi="Symbol" w:hint="default"/>
      </w:rPr>
    </w:lvl>
    <w:lvl w:ilvl="7" w:tplc="E8C44622">
      <w:start w:val="1"/>
      <w:numFmt w:val="bullet"/>
      <w:lvlText w:val="o"/>
      <w:lvlJc w:val="left"/>
      <w:pPr>
        <w:ind w:left="5760" w:hanging="360"/>
      </w:pPr>
      <w:rPr>
        <w:rFonts w:ascii="Courier New" w:hAnsi="Courier New" w:cs="Courier New" w:hint="default"/>
      </w:rPr>
    </w:lvl>
    <w:lvl w:ilvl="8" w:tplc="037C10F4">
      <w:start w:val="1"/>
      <w:numFmt w:val="bullet"/>
      <w:lvlText w:val=""/>
      <w:lvlJc w:val="left"/>
      <w:pPr>
        <w:ind w:left="6480" w:hanging="360"/>
      </w:pPr>
      <w:rPr>
        <w:rFonts w:ascii="Wingdings" w:hAnsi="Wingdings" w:hint="default"/>
      </w:rPr>
    </w:lvl>
  </w:abstractNum>
  <w:abstractNum w:abstractNumId="5" w15:restartNumberingAfterBreak="0">
    <w:nsid w:val="1DAF678E"/>
    <w:multiLevelType w:val="hybridMultilevel"/>
    <w:tmpl w:val="1FC87D68"/>
    <w:lvl w:ilvl="0" w:tplc="9DEAC654">
      <w:start w:val="1"/>
      <w:numFmt w:val="bullet"/>
      <w:lvlText w:val=""/>
      <w:lvlJc w:val="left"/>
      <w:pPr>
        <w:ind w:left="360" w:hanging="360"/>
      </w:pPr>
      <w:rPr>
        <w:rFonts w:ascii="Symbol" w:hAnsi="Symbol" w:hint="default"/>
      </w:rPr>
    </w:lvl>
    <w:lvl w:ilvl="1" w:tplc="0AF82BF0">
      <w:start w:val="1"/>
      <w:numFmt w:val="bullet"/>
      <w:lvlText w:val="o"/>
      <w:lvlJc w:val="left"/>
      <w:pPr>
        <w:ind w:left="1080" w:hanging="360"/>
      </w:pPr>
      <w:rPr>
        <w:rFonts w:ascii="Courier New" w:hAnsi="Courier New" w:cs="Courier New" w:hint="default"/>
      </w:rPr>
    </w:lvl>
    <w:lvl w:ilvl="2" w:tplc="142C257C">
      <w:start w:val="1"/>
      <w:numFmt w:val="bullet"/>
      <w:lvlText w:val=""/>
      <w:lvlJc w:val="left"/>
      <w:pPr>
        <w:ind w:left="1800" w:hanging="360"/>
      </w:pPr>
      <w:rPr>
        <w:rFonts w:ascii="Wingdings" w:hAnsi="Wingdings" w:hint="default"/>
      </w:rPr>
    </w:lvl>
    <w:lvl w:ilvl="3" w:tplc="4914EE30">
      <w:start w:val="1"/>
      <w:numFmt w:val="bullet"/>
      <w:lvlText w:val=""/>
      <w:lvlJc w:val="left"/>
      <w:pPr>
        <w:ind w:left="2520" w:hanging="360"/>
      </w:pPr>
      <w:rPr>
        <w:rFonts w:ascii="Symbol" w:hAnsi="Symbol" w:hint="default"/>
      </w:rPr>
    </w:lvl>
    <w:lvl w:ilvl="4" w:tplc="546E8F28">
      <w:start w:val="1"/>
      <w:numFmt w:val="bullet"/>
      <w:lvlText w:val="o"/>
      <w:lvlJc w:val="left"/>
      <w:pPr>
        <w:ind w:left="3240" w:hanging="360"/>
      </w:pPr>
      <w:rPr>
        <w:rFonts w:ascii="Courier New" w:hAnsi="Courier New" w:cs="Courier New" w:hint="default"/>
      </w:rPr>
    </w:lvl>
    <w:lvl w:ilvl="5" w:tplc="6400B0C8">
      <w:start w:val="1"/>
      <w:numFmt w:val="bullet"/>
      <w:lvlText w:val=""/>
      <w:lvlJc w:val="left"/>
      <w:pPr>
        <w:ind w:left="3960" w:hanging="360"/>
      </w:pPr>
      <w:rPr>
        <w:rFonts w:ascii="Wingdings" w:hAnsi="Wingdings" w:hint="default"/>
      </w:rPr>
    </w:lvl>
    <w:lvl w:ilvl="6" w:tplc="734A3ED4">
      <w:start w:val="1"/>
      <w:numFmt w:val="bullet"/>
      <w:lvlText w:val=""/>
      <w:lvlJc w:val="left"/>
      <w:pPr>
        <w:ind w:left="4680" w:hanging="360"/>
      </w:pPr>
      <w:rPr>
        <w:rFonts w:ascii="Symbol" w:hAnsi="Symbol" w:hint="default"/>
      </w:rPr>
    </w:lvl>
    <w:lvl w:ilvl="7" w:tplc="94A865A6">
      <w:start w:val="1"/>
      <w:numFmt w:val="bullet"/>
      <w:lvlText w:val="o"/>
      <w:lvlJc w:val="left"/>
      <w:pPr>
        <w:ind w:left="5400" w:hanging="360"/>
      </w:pPr>
      <w:rPr>
        <w:rFonts w:ascii="Courier New" w:hAnsi="Courier New" w:cs="Courier New" w:hint="default"/>
      </w:rPr>
    </w:lvl>
    <w:lvl w:ilvl="8" w:tplc="1D1C3F8C">
      <w:start w:val="1"/>
      <w:numFmt w:val="bullet"/>
      <w:lvlText w:val=""/>
      <w:lvlJc w:val="left"/>
      <w:pPr>
        <w:ind w:left="6120" w:hanging="360"/>
      </w:pPr>
      <w:rPr>
        <w:rFonts w:ascii="Wingdings" w:hAnsi="Wingdings" w:hint="default"/>
      </w:rPr>
    </w:lvl>
  </w:abstractNum>
  <w:abstractNum w:abstractNumId="6" w15:restartNumberingAfterBreak="0">
    <w:nsid w:val="1F06677B"/>
    <w:multiLevelType w:val="hybridMultilevel"/>
    <w:tmpl w:val="5D027C4E"/>
    <w:lvl w:ilvl="0" w:tplc="5E08E692">
      <w:start w:val="1"/>
      <w:numFmt w:val="decimal"/>
      <w:lvlText w:val="%1."/>
      <w:lvlJc w:val="left"/>
      <w:pPr>
        <w:ind w:left="764" w:hanging="360"/>
      </w:pPr>
    </w:lvl>
    <w:lvl w:ilvl="1" w:tplc="20B29FC0">
      <w:start w:val="1"/>
      <w:numFmt w:val="lowerLetter"/>
      <w:lvlText w:val="%2."/>
      <w:lvlJc w:val="left"/>
      <w:pPr>
        <w:ind w:left="1484" w:hanging="360"/>
      </w:pPr>
    </w:lvl>
    <w:lvl w:ilvl="2" w:tplc="2FA8A6A8">
      <w:start w:val="1"/>
      <w:numFmt w:val="lowerRoman"/>
      <w:lvlText w:val="%3."/>
      <w:lvlJc w:val="right"/>
      <w:pPr>
        <w:ind w:left="2204" w:hanging="180"/>
      </w:pPr>
    </w:lvl>
    <w:lvl w:ilvl="3" w:tplc="2432F7A2">
      <w:start w:val="1"/>
      <w:numFmt w:val="decimal"/>
      <w:lvlText w:val="%4."/>
      <w:lvlJc w:val="left"/>
      <w:pPr>
        <w:ind w:left="2924" w:hanging="360"/>
      </w:pPr>
    </w:lvl>
    <w:lvl w:ilvl="4" w:tplc="A8344C5A">
      <w:start w:val="1"/>
      <w:numFmt w:val="lowerLetter"/>
      <w:lvlText w:val="%5."/>
      <w:lvlJc w:val="left"/>
      <w:pPr>
        <w:ind w:left="3644" w:hanging="360"/>
      </w:pPr>
    </w:lvl>
    <w:lvl w:ilvl="5" w:tplc="A4E69970">
      <w:start w:val="1"/>
      <w:numFmt w:val="lowerRoman"/>
      <w:lvlText w:val="%6."/>
      <w:lvlJc w:val="right"/>
      <w:pPr>
        <w:ind w:left="4364" w:hanging="180"/>
      </w:pPr>
    </w:lvl>
    <w:lvl w:ilvl="6" w:tplc="E5C671C8">
      <w:start w:val="1"/>
      <w:numFmt w:val="decimal"/>
      <w:lvlText w:val="%7."/>
      <w:lvlJc w:val="left"/>
      <w:pPr>
        <w:ind w:left="5084" w:hanging="360"/>
      </w:pPr>
    </w:lvl>
    <w:lvl w:ilvl="7" w:tplc="9C889534">
      <w:start w:val="1"/>
      <w:numFmt w:val="lowerLetter"/>
      <w:lvlText w:val="%8."/>
      <w:lvlJc w:val="left"/>
      <w:pPr>
        <w:ind w:left="5804" w:hanging="360"/>
      </w:pPr>
    </w:lvl>
    <w:lvl w:ilvl="8" w:tplc="64D00282">
      <w:start w:val="1"/>
      <w:numFmt w:val="lowerRoman"/>
      <w:lvlText w:val="%9."/>
      <w:lvlJc w:val="right"/>
      <w:pPr>
        <w:ind w:left="6524" w:hanging="180"/>
      </w:pPr>
    </w:lvl>
  </w:abstractNum>
  <w:abstractNum w:abstractNumId="7" w15:restartNumberingAfterBreak="0">
    <w:nsid w:val="2B9657B5"/>
    <w:multiLevelType w:val="hybridMultilevel"/>
    <w:tmpl w:val="235AA40C"/>
    <w:lvl w:ilvl="0" w:tplc="D77409E8">
      <w:start w:val="1"/>
      <w:numFmt w:val="bullet"/>
      <w:lvlText w:val=""/>
      <w:lvlJc w:val="left"/>
      <w:pPr>
        <w:ind w:left="720" w:hanging="360"/>
      </w:pPr>
      <w:rPr>
        <w:rFonts w:ascii="Symbol" w:hAnsi="Symbol" w:hint="default"/>
      </w:rPr>
    </w:lvl>
    <w:lvl w:ilvl="1" w:tplc="77A2E868">
      <w:start w:val="1"/>
      <w:numFmt w:val="bullet"/>
      <w:lvlText w:val="o"/>
      <w:lvlJc w:val="left"/>
      <w:pPr>
        <w:ind w:left="1440" w:hanging="360"/>
      </w:pPr>
      <w:rPr>
        <w:rFonts w:ascii="Courier New" w:hAnsi="Courier New" w:cs="Courier New" w:hint="default"/>
      </w:rPr>
    </w:lvl>
    <w:lvl w:ilvl="2" w:tplc="8F204888">
      <w:start w:val="1"/>
      <w:numFmt w:val="bullet"/>
      <w:lvlText w:val=""/>
      <w:lvlJc w:val="left"/>
      <w:pPr>
        <w:ind w:left="2160" w:hanging="360"/>
      </w:pPr>
      <w:rPr>
        <w:rFonts w:ascii="Wingdings" w:hAnsi="Wingdings" w:hint="default"/>
      </w:rPr>
    </w:lvl>
    <w:lvl w:ilvl="3" w:tplc="17DEF264">
      <w:start w:val="1"/>
      <w:numFmt w:val="bullet"/>
      <w:lvlText w:val=""/>
      <w:lvlJc w:val="left"/>
      <w:pPr>
        <w:ind w:left="2880" w:hanging="360"/>
      </w:pPr>
      <w:rPr>
        <w:rFonts w:ascii="Symbol" w:hAnsi="Symbol" w:hint="default"/>
      </w:rPr>
    </w:lvl>
    <w:lvl w:ilvl="4" w:tplc="6FC8A744">
      <w:start w:val="1"/>
      <w:numFmt w:val="bullet"/>
      <w:lvlText w:val="o"/>
      <w:lvlJc w:val="left"/>
      <w:pPr>
        <w:ind w:left="3600" w:hanging="360"/>
      </w:pPr>
      <w:rPr>
        <w:rFonts w:ascii="Courier New" w:hAnsi="Courier New" w:cs="Courier New" w:hint="default"/>
      </w:rPr>
    </w:lvl>
    <w:lvl w:ilvl="5" w:tplc="5E868E32">
      <w:start w:val="1"/>
      <w:numFmt w:val="bullet"/>
      <w:lvlText w:val=""/>
      <w:lvlJc w:val="left"/>
      <w:pPr>
        <w:ind w:left="4320" w:hanging="360"/>
      </w:pPr>
      <w:rPr>
        <w:rFonts w:ascii="Wingdings" w:hAnsi="Wingdings" w:hint="default"/>
      </w:rPr>
    </w:lvl>
    <w:lvl w:ilvl="6" w:tplc="AE28A3A8">
      <w:start w:val="1"/>
      <w:numFmt w:val="bullet"/>
      <w:lvlText w:val=""/>
      <w:lvlJc w:val="left"/>
      <w:pPr>
        <w:ind w:left="5040" w:hanging="360"/>
      </w:pPr>
      <w:rPr>
        <w:rFonts w:ascii="Symbol" w:hAnsi="Symbol" w:hint="default"/>
      </w:rPr>
    </w:lvl>
    <w:lvl w:ilvl="7" w:tplc="F0BCE8B0">
      <w:start w:val="1"/>
      <w:numFmt w:val="bullet"/>
      <w:lvlText w:val="o"/>
      <w:lvlJc w:val="left"/>
      <w:pPr>
        <w:ind w:left="5760" w:hanging="360"/>
      </w:pPr>
      <w:rPr>
        <w:rFonts w:ascii="Courier New" w:hAnsi="Courier New" w:cs="Courier New" w:hint="default"/>
      </w:rPr>
    </w:lvl>
    <w:lvl w:ilvl="8" w:tplc="356488E4">
      <w:start w:val="1"/>
      <w:numFmt w:val="bullet"/>
      <w:lvlText w:val=""/>
      <w:lvlJc w:val="left"/>
      <w:pPr>
        <w:ind w:left="6480" w:hanging="360"/>
      </w:pPr>
      <w:rPr>
        <w:rFonts w:ascii="Wingdings" w:hAnsi="Wingdings" w:hint="default"/>
      </w:rPr>
    </w:lvl>
  </w:abstractNum>
  <w:abstractNum w:abstractNumId="8" w15:restartNumberingAfterBreak="0">
    <w:nsid w:val="32940780"/>
    <w:multiLevelType w:val="hybridMultilevel"/>
    <w:tmpl w:val="D25CD2CC"/>
    <w:lvl w:ilvl="0" w:tplc="7F08C1CA">
      <w:start w:val="1"/>
      <w:numFmt w:val="bullet"/>
      <w:lvlText w:val="-"/>
      <w:lvlJc w:val="left"/>
      <w:pPr>
        <w:ind w:left="720" w:hanging="360"/>
      </w:pPr>
      <w:rPr>
        <w:rFonts w:ascii="Times New Roman" w:eastAsia="Calibri" w:hAnsi="Times New Roman" w:cs="Times New Roman" w:hint="default"/>
      </w:rPr>
    </w:lvl>
    <w:lvl w:ilvl="1" w:tplc="163C6DE8">
      <w:start w:val="1"/>
      <w:numFmt w:val="bullet"/>
      <w:lvlText w:val="o"/>
      <w:lvlJc w:val="left"/>
      <w:pPr>
        <w:ind w:left="1440" w:hanging="360"/>
      </w:pPr>
      <w:rPr>
        <w:rFonts w:ascii="Courier New" w:hAnsi="Courier New" w:cs="Courier New" w:hint="default"/>
      </w:rPr>
    </w:lvl>
    <w:lvl w:ilvl="2" w:tplc="E16C6E12">
      <w:start w:val="1"/>
      <w:numFmt w:val="bullet"/>
      <w:lvlText w:val=""/>
      <w:lvlJc w:val="left"/>
      <w:pPr>
        <w:ind w:left="2160" w:hanging="360"/>
      </w:pPr>
      <w:rPr>
        <w:rFonts w:ascii="Wingdings" w:hAnsi="Wingdings" w:hint="default"/>
      </w:rPr>
    </w:lvl>
    <w:lvl w:ilvl="3" w:tplc="307E9900">
      <w:start w:val="1"/>
      <w:numFmt w:val="bullet"/>
      <w:lvlText w:val=""/>
      <w:lvlJc w:val="left"/>
      <w:pPr>
        <w:ind w:left="2880" w:hanging="360"/>
      </w:pPr>
      <w:rPr>
        <w:rFonts w:ascii="Symbol" w:hAnsi="Symbol" w:hint="default"/>
      </w:rPr>
    </w:lvl>
    <w:lvl w:ilvl="4" w:tplc="02B2B808">
      <w:start w:val="1"/>
      <w:numFmt w:val="bullet"/>
      <w:lvlText w:val="o"/>
      <w:lvlJc w:val="left"/>
      <w:pPr>
        <w:ind w:left="3600" w:hanging="360"/>
      </w:pPr>
      <w:rPr>
        <w:rFonts w:ascii="Courier New" w:hAnsi="Courier New" w:cs="Courier New" w:hint="default"/>
      </w:rPr>
    </w:lvl>
    <w:lvl w:ilvl="5" w:tplc="A606A32E">
      <w:start w:val="1"/>
      <w:numFmt w:val="bullet"/>
      <w:lvlText w:val=""/>
      <w:lvlJc w:val="left"/>
      <w:pPr>
        <w:ind w:left="4320" w:hanging="360"/>
      </w:pPr>
      <w:rPr>
        <w:rFonts w:ascii="Wingdings" w:hAnsi="Wingdings" w:hint="default"/>
      </w:rPr>
    </w:lvl>
    <w:lvl w:ilvl="6" w:tplc="C582A8D6">
      <w:start w:val="1"/>
      <w:numFmt w:val="bullet"/>
      <w:lvlText w:val=""/>
      <w:lvlJc w:val="left"/>
      <w:pPr>
        <w:ind w:left="5040" w:hanging="360"/>
      </w:pPr>
      <w:rPr>
        <w:rFonts w:ascii="Symbol" w:hAnsi="Symbol" w:hint="default"/>
      </w:rPr>
    </w:lvl>
    <w:lvl w:ilvl="7" w:tplc="BC905A1E">
      <w:start w:val="1"/>
      <w:numFmt w:val="bullet"/>
      <w:lvlText w:val="o"/>
      <w:lvlJc w:val="left"/>
      <w:pPr>
        <w:ind w:left="5760" w:hanging="360"/>
      </w:pPr>
      <w:rPr>
        <w:rFonts w:ascii="Courier New" w:hAnsi="Courier New" w:cs="Courier New" w:hint="default"/>
      </w:rPr>
    </w:lvl>
    <w:lvl w:ilvl="8" w:tplc="C7F6BB00">
      <w:start w:val="1"/>
      <w:numFmt w:val="bullet"/>
      <w:lvlText w:val=""/>
      <w:lvlJc w:val="left"/>
      <w:pPr>
        <w:ind w:left="6480" w:hanging="360"/>
      </w:pPr>
      <w:rPr>
        <w:rFonts w:ascii="Wingdings" w:hAnsi="Wingdings" w:hint="default"/>
      </w:rPr>
    </w:lvl>
  </w:abstractNum>
  <w:abstractNum w:abstractNumId="9" w15:restartNumberingAfterBreak="0">
    <w:nsid w:val="36D4171E"/>
    <w:multiLevelType w:val="hybridMultilevel"/>
    <w:tmpl w:val="091A8536"/>
    <w:lvl w:ilvl="0" w:tplc="D18EDD9E">
      <w:start w:val="1"/>
      <w:numFmt w:val="bullet"/>
      <w:lvlText w:val=""/>
      <w:lvlJc w:val="left"/>
      <w:pPr>
        <w:ind w:left="789" w:hanging="360"/>
      </w:pPr>
      <w:rPr>
        <w:rFonts w:ascii="Symbol" w:hAnsi="Symbol" w:hint="default"/>
      </w:rPr>
    </w:lvl>
    <w:lvl w:ilvl="1" w:tplc="8A8A6688">
      <w:start w:val="1"/>
      <w:numFmt w:val="bullet"/>
      <w:lvlText w:val="o"/>
      <w:lvlJc w:val="left"/>
      <w:pPr>
        <w:ind w:left="1509" w:hanging="360"/>
      </w:pPr>
      <w:rPr>
        <w:rFonts w:ascii="Courier New" w:hAnsi="Courier New" w:cs="Courier New" w:hint="default"/>
      </w:rPr>
    </w:lvl>
    <w:lvl w:ilvl="2" w:tplc="D6B20B40">
      <w:start w:val="1"/>
      <w:numFmt w:val="bullet"/>
      <w:lvlText w:val=""/>
      <w:lvlJc w:val="left"/>
      <w:pPr>
        <w:ind w:left="2229" w:hanging="360"/>
      </w:pPr>
      <w:rPr>
        <w:rFonts w:ascii="Wingdings" w:hAnsi="Wingdings" w:hint="default"/>
      </w:rPr>
    </w:lvl>
    <w:lvl w:ilvl="3" w:tplc="F0DA95B0">
      <w:start w:val="1"/>
      <w:numFmt w:val="bullet"/>
      <w:lvlText w:val=""/>
      <w:lvlJc w:val="left"/>
      <w:pPr>
        <w:ind w:left="2949" w:hanging="360"/>
      </w:pPr>
      <w:rPr>
        <w:rFonts w:ascii="Symbol" w:hAnsi="Symbol" w:hint="default"/>
      </w:rPr>
    </w:lvl>
    <w:lvl w:ilvl="4" w:tplc="2CC27460">
      <w:start w:val="1"/>
      <w:numFmt w:val="bullet"/>
      <w:lvlText w:val="o"/>
      <w:lvlJc w:val="left"/>
      <w:pPr>
        <w:ind w:left="3669" w:hanging="360"/>
      </w:pPr>
      <w:rPr>
        <w:rFonts w:ascii="Courier New" w:hAnsi="Courier New" w:cs="Courier New" w:hint="default"/>
      </w:rPr>
    </w:lvl>
    <w:lvl w:ilvl="5" w:tplc="F5C08892">
      <w:start w:val="1"/>
      <w:numFmt w:val="bullet"/>
      <w:lvlText w:val=""/>
      <w:lvlJc w:val="left"/>
      <w:pPr>
        <w:ind w:left="4389" w:hanging="360"/>
      </w:pPr>
      <w:rPr>
        <w:rFonts w:ascii="Wingdings" w:hAnsi="Wingdings" w:hint="default"/>
      </w:rPr>
    </w:lvl>
    <w:lvl w:ilvl="6" w:tplc="C516703C">
      <w:start w:val="1"/>
      <w:numFmt w:val="bullet"/>
      <w:lvlText w:val=""/>
      <w:lvlJc w:val="left"/>
      <w:pPr>
        <w:ind w:left="5109" w:hanging="360"/>
      </w:pPr>
      <w:rPr>
        <w:rFonts w:ascii="Symbol" w:hAnsi="Symbol" w:hint="default"/>
      </w:rPr>
    </w:lvl>
    <w:lvl w:ilvl="7" w:tplc="182E0C02">
      <w:start w:val="1"/>
      <w:numFmt w:val="bullet"/>
      <w:lvlText w:val="o"/>
      <w:lvlJc w:val="left"/>
      <w:pPr>
        <w:ind w:left="5829" w:hanging="360"/>
      </w:pPr>
      <w:rPr>
        <w:rFonts w:ascii="Courier New" w:hAnsi="Courier New" w:cs="Courier New" w:hint="default"/>
      </w:rPr>
    </w:lvl>
    <w:lvl w:ilvl="8" w:tplc="15B8A2D0">
      <w:start w:val="1"/>
      <w:numFmt w:val="bullet"/>
      <w:lvlText w:val=""/>
      <w:lvlJc w:val="left"/>
      <w:pPr>
        <w:ind w:left="6549" w:hanging="360"/>
      </w:pPr>
      <w:rPr>
        <w:rFonts w:ascii="Wingdings" w:hAnsi="Wingdings" w:hint="default"/>
      </w:rPr>
    </w:lvl>
  </w:abstractNum>
  <w:abstractNum w:abstractNumId="10" w15:restartNumberingAfterBreak="0">
    <w:nsid w:val="3BEA43D8"/>
    <w:multiLevelType w:val="hybridMultilevel"/>
    <w:tmpl w:val="E15AF9CC"/>
    <w:lvl w:ilvl="0" w:tplc="AF82BC0C">
      <w:start w:val="1"/>
      <w:numFmt w:val="bullet"/>
      <w:lvlText w:val=""/>
      <w:lvlJc w:val="left"/>
      <w:pPr>
        <w:tabs>
          <w:tab w:val="num" w:pos="720"/>
        </w:tabs>
        <w:ind w:left="720" w:hanging="360"/>
      </w:pPr>
      <w:rPr>
        <w:rFonts w:ascii="Symbol" w:hAnsi="Symbol" w:hint="default"/>
        <w:sz w:val="20"/>
      </w:rPr>
    </w:lvl>
    <w:lvl w:ilvl="1" w:tplc="C9DA4132">
      <w:start w:val="1"/>
      <w:numFmt w:val="bullet"/>
      <w:lvlText w:val="o"/>
      <w:lvlJc w:val="left"/>
      <w:pPr>
        <w:tabs>
          <w:tab w:val="num" w:pos="1440"/>
        </w:tabs>
        <w:ind w:left="1440" w:hanging="360"/>
      </w:pPr>
      <w:rPr>
        <w:rFonts w:ascii="Courier New" w:hAnsi="Courier New" w:hint="default"/>
        <w:sz w:val="20"/>
      </w:rPr>
    </w:lvl>
    <w:lvl w:ilvl="2" w:tplc="6A0A9F4C">
      <w:start w:val="1"/>
      <w:numFmt w:val="bullet"/>
      <w:lvlText w:val=""/>
      <w:lvlJc w:val="left"/>
      <w:pPr>
        <w:tabs>
          <w:tab w:val="num" w:pos="2160"/>
        </w:tabs>
        <w:ind w:left="2160" w:hanging="360"/>
      </w:pPr>
      <w:rPr>
        <w:rFonts w:ascii="Wingdings" w:hAnsi="Wingdings" w:hint="default"/>
        <w:sz w:val="20"/>
      </w:rPr>
    </w:lvl>
    <w:lvl w:ilvl="3" w:tplc="AB7E872A">
      <w:start w:val="1"/>
      <w:numFmt w:val="bullet"/>
      <w:lvlText w:val=""/>
      <w:lvlJc w:val="left"/>
      <w:pPr>
        <w:tabs>
          <w:tab w:val="num" w:pos="2880"/>
        </w:tabs>
        <w:ind w:left="2880" w:hanging="360"/>
      </w:pPr>
      <w:rPr>
        <w:rFonts w:ascii="Wingdings" w:hAnsi="Wingdings" w:hint="default"/>
        <w:sz w:val="20"/>
      </w:rPr>
    </w:lvl>
    <w:lvl w:ilvl="4" w:tplc="FF0890AC">
      <w:start w:val="1"/>
      <w:numFmt w:val="bullet"/>
      <w:lvlText w:val=""/>
      <w:lvlJc w:val="left"/>
      <w:pPr>
        <w:tabs>
          <w:tab w:val="num" w:pos="3600"/>
        </w:tabs>
        <w:ind w:left="3600" w:hanging="360"/>
      </w:pPr>
      <w:rPr>
        <w:rFonts w:ascii="Wingdings" w:hAnsi="Wingdings" w:hint="default"/>
        <w:sz w:val="20"/>
      </w:rPr>
    </w:lvl>
    <w:lvl w:ilvl="5" w:tplc="8D581470">
      <w:start w:val="1"/>
      <w:numFmt w:val="bullet"/>
      <w:lvlText w:val=""/>
      <w:lvlJc w:val="left"/>
      <w:pPr>
        <w:tabs>
          <w:tab w:val="num" w:pos="4320"/>
        </w:tabs>
        <w:ind w:left="4320" w:hanging="360"/>
      </w:pPr>
      <w:rPr>
        <w:rFonts w:ascii="Wingdings" w:hAnsi="Wingdings" w:hint="default"/>
        <w:sz w:val="20"/>
      </w:rPr>
    </w:lvl>
    <w:lvl w:ilvl="6" w:tplc="51EEAEF4">
      <w:start w:val="1"/>
      <w:numFmt w:val="bullet"/>
      <w:lvlText w:val=""/>
      <w:lvlJc w:val="left"/>
      <w:pPr>
        <w:tabs>
          <w:tab w:val="num" w:pos="5040"/>
        </w:tabs>
        <w:ind w:left="5040" w:hanging="360"/>
      </w:pPr>
      <w:rPr>
        <w:rFonts w:ascii="Wingdings" w:hAnsi="Wingdings" w:hint="default"/>
        <w:sz w:val="20"/>
      </w:rPr>
    </w:lvl>
    <w:lvl w:ilvl="7" w:tplc="5844924E">
      <w:start w:val="1"/>
      <w:numFmt w:val="bullet"/>
      <w:lvlText w:val=""/>
      <w:lvlJc w:val="left"/>
      <w:pPr>
        <w:tabs>
          <w:tab w:val="num" w:pos="5760"/>
        </w:tabs>
        <w:ind w:left="5760" w:hanging="360"/>
      </w:pPr>
      <w:rPr>
        <w:rFonts w:ascii="Wingdings" w:hAnsi="Wingdings" w:hint="default"/>
        <w:sz w:val="20"/>
      </w:rPr>
    </w:lvl>
    <w:lvl w:ilvl="8" w:tplc="36F482B0">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22436"/>
    <w:multiLevelType w:val="hybridMultilevel"/>
    <w:tmpl w:val="D69232B6"/>
    <w:lvl w:ilvl="0" w:tplc="F510FA6A">
      <w:start w:val="1"/>
      <w:numFmt w:val="bullet"/>
      <w:lvlText w:val=""/>
      <w:lvlJc w:val="left"/>
      <w:pPr>
        <w:tabs>
          <w:tab w:val="num" w:pos="720"/>
        </w:tabs>
        <w:ind w:left="720" w:hanging="360"/>
      </w:pPr>
      <w:rPr>
        <w:rFonts w:ascii="Symbol" w:hAnsi="Symbol" w:hint="default"/>
        <w:sz w:val="20"/>
      </w:rPr>
    </w:lvl>
    <w:lvl w:ilvl="1" w:tplc="4BA2FCB0">
      <w:start w:val="1"/>
      <w:numFmt w:val="bullet"/>
      <w:lvlText w:val="o"/>
      <w:lvlJc w:val="left"/>
      <w:pPr>
        <w:tabs>
          <w:tab w:val="num" w:pos="1440"/>
        </w:tabs>
        <w:ind w:left="1440" w:hanging="360"/>
      </w:pPr>
      <w:rPr>
        <w:rFonts w:ascii="Courier New" w:hAnsi="Courier New" w:hint="default"/>
        <w:sz w:val="20"/>
      </w:rPr>
    </w:lvl>
    <w:lvl w:ilvl="2" w:tplc="705E3610">
      <w:start w:val="1"/>
      <w:numFmt w:val="bullet"/>
      <w:lvlText w:val=""/>
      <w:lvlJc w:val="left"/>
      <w:pPr>
        <w:tabs>
          <w:tab w:val="num" w:pos="2160"/>
        </w:tabs>
        <w:ind w:left="2160" w:hanging="360"/>
      </w:pPr>
      <w:rPr>
        <w:rFonts w:ascii="Wingdings" w:hAnsi="Wingdings" w:hint="default"/>
        <w:sz w:val="20"/>
      </w:rPr>
    </w:lvl>
    <w:lvl w:ilvl="3" w:tplc="689E0752">
      <w:start w:val="1"/>
      <w:numFmt w:val="bullet"/>
      <w:lvlText w:val=""/>
      <w:lvlJc w:val="left"/>
      <w:pPr>
        <w:tabs>
          <w:tab w:val="num" w:pos="2880"/>
        </w:tabs>
        <w:ind w:left="2880" w:hanging="360"/>
      </w:pPr>
      <w:rPr>
        <w:rFonts w:ascii="Wingdings" w:hAnsi="Wingdings" w:hint="default"/>
        <w:sz w:val="20"/>
      </w:rPr>
    </w:lvl>
    <w:lvl w:ilvl="4" w:tplc="181C4238">
      <w:start w:val="1"/>
      <w:numFmt w:val="bullet"/>
      <w:lvlText w:val=""/>
      <w:lvlJc w:val="left"/>
      <w:pPr>
        <w:tabs>
          <w:tab w:val="num" w:pos="3600"/>
        </w:tabs>
        <w:ind w:left="3600" w:hanging="360"/>
      </w:pPr>
      <w:rPr>
        <w:rFonts w:ascii="Wingdings" w:hAnsi="Wingdings" w:hint="default"/>
        <w:sz w:val="20"/>
      </w:rPr>
    </w:lvl>
    <w:lvl w:ilvl="5" w:tplc="D4E4C204">
      <w:start w:val="1"/>
      <w:numFmt w:val="bullet"/>
      <w:lvlText w:val=""/>
      <w:lvlJc w:val="left"/>
      <w:pPr>
        <w:tabs>
          <w:tab w:val="num" w:pos="4320"/>
        </w:tabs>
        <w:ind w:left="4320" w:hanging="360"/>
      </w:pPr>
      <w:rPr>
        <w:rFonts w:ascii="Wingdings" w:hAnsi="Wingdings" w:hint="default"/>
        <w:sz w:val="20"/>
      </w:rPr>
    </w:lvl>
    <w:lvl w:ilvl="6" w:tplc="8F3EC504">
      <w:start w:val="1"/>
      <w:numFmt w:val="bullet"/>
      <w:lvlText w:val=""/>
      <w:lvlJc w:val="left"/>
      <w:pPr>
        <w:tabs>
          <w:tab w:val="num" w:pos="5040"/>
        </w:tabs>
        <w:ind w:left="5040" w:hanging="360"/>
      </w:pPr>
      <w:rPr>
        <w:rFonts w:ascii="Wingdings" w:hAnsi="Wingdings" w:hint="default"/>
        <w:sz w:val="20"/>
      </w:rPr>
    </w:lvl>
    <w:lvl w:ilvl="7" w:tplc="9C4A3A2E">
      <w:start w:val="1"/>
      <w:numFmt w:val="bullet"/>
      <w:lvlText w:val=""/>
      <w:lvlJc w:val="left"/>
      <w:pPr>
        <w:tabs>
          <w:tab w:val="num" w:pos="5760"/>
        </w:tabs>
        <w:ind w:left="5760" w:hanging="360"/>
      </w:pPr>
      <w:rPr>
        <w:rFonts w:ascii="Wingdings" w:hAnsi="Wingdings" w:hint="default"/>
        <w:sz w:val="20"/>
      </w:rPr>
    </w:lvl>
    <w:lvl w:ilvl="8" w:tplc="6B0870D6">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D45B8"/>
    <w:multiLevelType w:val="hybridMultilevel"/>
    <w:tmpl w:val="BDEA47F4"/>
    <w:lvl w:ilvl="0" w:tplc="E1B0B0DC">
      <w:start w:val="1"/>
      <w:numFmt w:val="bullet"/>
      <w:lvlText w:val=""/>
      <w:lvlJc w:val="left"/>
      <w:pPr>
        <w:tabs>
          <w:tab w:val="num" w:pos="720"/>
        </w:tabs>
        <w:ind w:left="720" w:hanging="360"/>
      </w:pPr>
      <w:rPr>
        <w:rFonts w:ascii="Symbol" w:hAnsi="Symbol" w:hint="default"/>
        <w:sz w:val="20"/>
      </w:rPr>
    </w:lvl>
    <w:lvl w:ilvl="1" w:tplc="926A5D74">
      <w:start w:val="1"/>
      <w:numFmt w:val="bullet"/>
      <w:lvlText w:val="o"/>
      <w:lvlJc w:val="left"/>
      <w:pPr>
        <w:tabs>
          <w:tab w:val="num" w:pos="1440"/>
        </w:tabs>
        <w:ind w:left="1440" w:hanging="360"/>
      </w:pPr>
      <w:rPr>
        <w:rFonts w:ascii="Courier New" w:hAnsi="Courier New" w:hint="default"/>
        <w:sz w:val="20"/>
      </w:rPr>
    </w:lvl>
    <w:lvl w:ilvl="2" w:tplc="BA4C6824">
      <w:start w:val="1"/>
      <w:numFmt w:val="bullet"/>
      <w:lvlText w:val=""/>
      <w:lvlJc w:val="left"/>
      <w:pPr>
        <w:tabs>
          <w:tab w:val="num" w:pos="2160"/>
        </w:tabs>
        <w:ind w:left="2160" w:hanging="360"/>
      </w:pPr>
      <w:rPr>
        <w:rFonts w:ascii="Wingdings" w:hAnsi="Wingdings" w:hint="default"/>
        <w:sz w:val="20"/>
      </w:rPr>
    </w:lvl>
    <w:lvl w:ilvl="3" w:tplc="BA142422">
      <w:start w:val="1"/>
      <w:numFmt w:val="bullet"/>
      <w:lvlText w:val=""/>
      <w:lvlJc w:val="left"/>
      <w:pPr>
        <w:tabs>
          <w:tab w:val="num" w:pos="2880"/>
        </w:tabs>
        <w:ind w:left="2880" w:hanging="360"/>
      </w:pPr>
      <w:rPr>
        <w:rFonts w:ascii="Wingdings" w:hAnsi="Wingdings" w:hint="default"/>
        <w:sz w:val="20"/>
      </w:rPr>
    </w:lvl>
    <w:lvl w:ilvl="4" w:tplc="8B1E88BE">
      <w:start w:val="1"/>
      <w:numFmt w:val="bullet"/>
      <w:lvlText w:val=""/>
      <w:lvlJc w:val="left"/>
      <w:pPr>
        <w:tabs>
          <w:tab w:val="num" w:pos="3600"/>
        </w:tabs>
        <w:ind w:left="3600" w:hanging="360"/>
      </w:pPr>
      <w:rPr>
        <w:rFonts w:ascii="Wingdings" w:hAnsi="Wingdings" w:hint="default"/>
        <w:sz w:val="20"/>
      </w:rPr>
    </w:lvl>
    <w:lvl w:ilvl="5" w:tplc="5C3CDE2E">
      <w:start w:val="1"/>
      <w:numFmt w:val="bullet"/>
      <w:lvlText w:val=""/>
      <w:lvlJc w:val="left"/>
      <w:pPr>
        <w:tabs>
          <w:tab w:val="num" w:pos="4320"/>
        </w:tabs>
        <w:ind w:left="4320" w:hanging="360"/>
      </w:pPr>
      <w:rPr>
        <w:rFonts w:ascii="Wingdings" w:hAnsi="Wingdings" w:hint="default"/>
        <w:sz w:val="20"/>
      </w:rPr>
    </w:lvl>
    <w:lvl w:ilvl="6" w:tplc="4B72E938">
      <w:start w:val="1"/>
      <w:numFmt w:val="bullet"/>
      <w:lvlText w:val=""/>
      <w:lvlJc w:val="left"/>
      <w:pPr>
        <w:tabs>
          <w:tab w:val="num" w:pos="5040"/>
        </w:tabs>
        <w:ind w:left="5040" w:hanging="360"/>
      </w:pPr>
      <w:rPr>
        <w:rFonts w:ascii="Wingdings" w:hAnsi="Wingdings" w:hint="default"/>
        <w:sz w:val="20"/>
      </w:rPr>
    </w:lvl>
    <w:lvl w:ilvl="7" w:tplc="9B2EB922">
      <w:start w:val="1"/>
      <w:numFmt w:val="bullet"/>
      <w:lvlText w:val=""/>
      <w:lvlJc w:val="left"/>
      <w:pPr>
        <w:tabs>
          <w:tab w:val="num" w:pos="5760"/>
        </w:tabs>
        <w:ind w:left="5760" w:hanging="360"/>
      </w:pPr>
      <w:rPr>
        <w:rFonts w:ascii="Wingdings" w:hAnsi="Wingdings" w:hint="default"/>
        <w:sz w:val="20"/>
      </w:rPr>
    </w:lvl>
    <w:lvl w:ilvl="8" w:tplc="C220FC06">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481D83"/>
    <w:multiLevelType w:val="hybridMultilevel"/>
    <w:tmpl w:val="DDB4EA34"/>
    <w:lvl w:ilvl="0" w:tplc="70A27C56">
      <w:start w:val="1"/>
      <w:numFmt w:val="bullet"/>
      <w:lvlText w:val=""/>
      <w:lvlJc w:val="left"/>
      <w:pPr>
        <w:ind w:left="720" w:hanging="360"/>
      </w:pPr>
      <w:rPr>
        <w:rFonts w:ascii="Symbol" w:hAnsi="Symbol" w:hint="default"/>
      </w:rPr>
    </w:lvl>
    <w:lvl w:ilvl="1" w:tplc="954621BE">
      <w:start w:val="1"/>
      <w:numFmt w:val="bullet"/>
      <w:lvlText w:val="o"/>
      <w:lvlJc w:val="left"/>
      <w:pPr>
        <w:ind w:left="1440" w:hanging="360"/>
      </w:pPr>
      <w:rPr>
        <w:rFonts w:ascii="Courier New" w:hAnsi="Courier New" w:cs="Courier New" w:hint="default"/>
      </w:rPr>
    </w:lvl>
    <w:lvl w:ilvl="2" w:tplc="F2649110">
      <w:start w:val="1"/>
      <w:numFmt w:val="bullet"/>
      <w:lvlText w:val=""/>
      <w:lvlJc w:val="left"/>
      <w:pPr>
        <w:ind w:left="2160" w:hanging="360"/>
      </w:pPr>
      <w:rPr>
        <w:rFonts w:ascii="Wingdings" w:hAnsi="Wingdings" w:hint="default"/>
      </w:rPr>
    </w:lvl>
    <w:lvl w:ilvl="3" w:tplc="BCEC2288">
      <w:start w:val="1"/>
      <w:numFmt w:val="bullet"/>
      <w:lvlText w:val=""/>
      <w:lvlJc w:val="left"/>
      <w:pPr>
        <w:ind w:left="2880" w:hanging="360"/>
      </w:pPr>
      <w:rPr>
        <w:rFonts w:ascii="Symbol" w:hAnsi="Symbol" w:hint="default"/>
      </w:rPr>
    </w:lvl>
    <w:lvl w:ilvl="4" w:tplc="1C52BB70">
      <w:start w:val="1"/>
      <w:numFmt w:val="bullet"/>
      <w:lvlText w:val="o"/>
      <w:lvlJc w:val="left"/>
      <w:pPr>
        <w:ind w:left="3600" w:hanging="360"/>
      </w:pPr>
      <w:rPr>
        <w:rFonts w:ascii="Courier New" w:hAnsi="Courier New" w:cs="Courier New" w:hint="default"/>
      </w:rPr>
    </w:lvl>
    <w:lvl w:ilvl="5" w:tplc="52306AF8">
      <w:start w:val="1"/>
      <w:numFmt w:val="bullet"/>
      <w:lvlText w:val=""/>
      <w:lvlJc w:val="left"/>
      <w:pPr>
        <w:ind w:left="4320" w:hanging="360"/>
      </w:pPr>
      <w:rPr>
        <w:rFonts w:ascii="Wingdings" w:hAnsi="Wingdings" w:hint="default"/>
      </w:rPr>
    </w:lvl>
    <w:lvl w:ilvl="6" w:tplc="1FF66E00">
      <w:start w:val="1"/>
      <w:numFmt w:val="bullet"/>
      <w:lvlText w:val=""/>
      <w:lvlJc w:val="left"/>
      <w:pPr>
        <w:ind w:left="5040" w:hanging="360"/>
      </w:pPr>
      <w:rPr>
        <w:rFonts w:ascii="Symbol" w:hAnsi="Symbol" w:hint="default"/>
      </w:rPr>
    </w:lvl>
    <w:lvl w:ilvl="7" w:tplc="94C600F6">
      <w:start w:val="1"/>
      <w:numFmt w:val="bullet"/>
      <w:lvlText w:val="o"/>
      <w:lvlJc w:val="left"/>
      <w:pPr>
        <w:ind w:left="5760" w:hanging="360"/>
      </w:pPr>
      <w:rPr>
        <w:rFonts w:ascii="Courier New" w:hAnsi="Courier New" w:cs="Courier New" w:hint="default"/>
      </w:rPr>
    </w:lvl>
    <w:lvl w:ilvl="8" w:tplc="349EE4DA">
      <w:start w:val="1"/>
      <w:numFmt w:val="bullet"/>
      <w:lvlText w:val=""/>
      <w:lvlJc w:val="left"/>
      <w:pPr>
        <w:ind w:left="6480" w:hanging="360"/>
      </w:pPr>
      <w:rPr>
        <w:rFonts w:ascii="Wingdings" w:hAnsi="Wingdings" w:hint="default"/>
      </w:rPr>
    </w:lvl>
  </w:abstractNum>
  <w:abstractNum w:abstractNumId="14" w15:restartNumberingAfterBreak="0">
    <w:nsid w:val="575224B1"/>
    <w:multiLevelType w:val="hybridMultilevel"/>
    <w:tmpl w:val="B69AA0DC"/>
    <w:lvl w:ilvl="0" w:tplc="B100FBCC">
      <w:start w:val="1"/>
      <w:numFmt w:val="decimal"/>
      <w:lvlText w:val="%1."/>
      <w:lvlJc w:val="left"/>
      <w:pPr>
        <w:ind w:left="360" w:hanging="360"/>
      </w:pPr>
    </w:lvl>
    <w:lvl w:ilvl="1" w:tplc="44EEAE7A">
      <w:start w:val="1"/>
      <w:numFmt w:val="lowerLetter"/>
      <w:lvlText w:val="%2."/>
      <w:lvlJc w:val="left"/>
      <w:pPr>
        <w:ind w:left="1080" w:hanging="360"/>
      </w:pPr>
    </w:lvl>
    <w:lvl w:ilvl="2" w:tplc="1A5C8058">
      <w:start w:val="1"/>
      <w:numFmt w:val="lowerRoman"/>
      <w:lvlText w:val="%3."/>
      <w:lvlJc w:val="right"/>
      <w:pPr>
        <w:ind w:left="1800" w:hanging="180"/>
      </w:pPr>
    </w:lvl>
    <w:lvl w:ilvl="3" w:tplc="3BCC94E4">
      <w:start w:val="1"/>
      <w:numFmt w:val="decimal"/>
      <w:lvlText w:val="%4."/>
      <w:lvlJc w:val="left"/>
      <w:pPr>
        <w:ind w:left="2520" w:hanging="360"/>
      </w:pPr>
    </w:lvl>
    <w:lvl w:ilvl="4" w:tplc="9A984056">
      <w:start w:val="1"/>
      <w:numFmt w:val="lowerLetter"/>
      <w:lvlText w:val="%5."/>
      <w:lvlJc w:val="left"/>
      <w:pPr>
        <w:ind w:left="3240" w:hanging="360"/>
      </w:pPr>
    </w:lvl>
    <w:lvl w:ilvl="5" w:tplc="8F08AF22">
      <w:start w:val="1"/>
      <w:numFmt w:val="lowerRoman"/>
      <w:lvlText w:val="%6."/>
      <w:lvlJc w:val="right"/>
      <w:pPr>
        <w:ind w:left="3960" w:hanging="180"/>
      </w:pPr>
    </w:lvl>
    <w:lvl w:ilvl="6" w:tplc="5A82C702">
      <w:start w:val="1"/>
      <w:numFmt w:val="decimal"/>
      <w:lvlText w:val="%7."/>
      <w:lvlJc w:val="left"/>
      <w:pPr>
        <w:ind w:left="4680" w:hanging="360"/>
      </w:pPr>
    </w:lvl>
    <w:lvl w:ilvl="7" w:tplc="501801F8">
      <w:start w:val="1"/>
      <w:numFmt w:val="lowerLetter"/>
      <w:lvlText w:val="%8."/>
      <w:lvlJc w:val="left"/>
      <w:pPr>
        <w:ind w:left="5400" w:hanging="360"/>
      </w:pPr>
    </w:lvl>
    <w:lvl w:ilvl="8" w:tplc="062C0CD4">
      <w:start w:val="1"/>
      <w:numFmt w:val="lowerRoman"/>
      <w:lvlText w:val="%9."/>
      <w:lvlJc w:val="right"/>
      <w:pPr>
        <w:ind w:left="6120" w:hanging="180"/>
      </w:pPr>
    </w:lvl>
  </w:abstractNum>
  <w:abstractNum w:abstractNumId="15" w15:restartNumberingAfterBreak="0">
    <w:nsid w:val="71441830"/>
    <w:multiLevelType w:val="hybridMultilevel"/>
    <w:tmpl w:val="4D38DC86"/>
    <w:lvl w:ilvl="0" w:tplc="DD6E8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BD27FFE"/>
    <w:multiLevelType w:val="hybridMultilevel"/>
    <w:tmpl w:val="5010C74A"/>
    <w:lvl w:ilvl="0" w:tplc="0419000F">
      <w:start w:val="1"/>
      <w:numFmt w:val="decimal"/>
      <w:lvlText w:val="%1."/>
      <w:lvlJc w:val="left"/>
      <w:pPr>
        <w:ind w:left="360" w:hanging="360"/>
      </w:p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num w:numId="1">
    <w:abstractNumId w:val="5"/>
  </w:num>
  <w:num w:numId="2">
    <w:abstractNumId w:val="5"/>
  </w:num>
  <w:num w:numId="3">
    <w:abstractNumId w:val="5"/>
  </w:num>
  <w:num w:numId="4">
    <w:abstractNumId w:val="5"/>
  </w:num>
  <w:num w:numId="5">
    <w:abstractNumId w:val="8"/>
  </w:num>
  <w:num w:numId="6">
    <w:abstractNumId w:val="6"/>
  </w:num>
  <w:num w:numId="7">
    <w:abstractNumId w:val="9"/>
  </w:num>
  <w:num w:numId="8">
    <w:abstractNumId w:val="14"/>
  </w:num>
  <w:num w:numId="9">
    <w:abstractNumId w:val="10"/>
  </w:num>
  <w:num w:numId="10">
    <w:abstractNumId w:val="4"/>
  </w:num>
  <w:num w:numId="11">
    <w:abstractNumId w:val="0"/>
  </w:num>
  <w:num w:numId="12">
    <w:abstractNumId w:val="7"/>
  </w:num>
  <w:num w:numId="13">
    <w:abstractNumId w:val="13"/>
  </w:num>
  <w:num w:numId="14">
    <w:abstractNumId w:val="3"/>
  </w:num>
  <w:num w:numId="15">
    <w:abstractNumId w:val="11"/>
  </w:num>
  <w:num w:numId="16">
    <w:abstractNumId w:val="12"/>
  </w:num>
  <w:num w:numId="17">
    <w:abstractNumId w:val="2"/>
  </w:num>
  <w:num w:numId="18">
    <w:abstractNumId w:val="16"/>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F9"/>
    <w:rsid w:val="00007376"/>
    <w:rsid w:val="003138F9"/>
    <w:rsid w:val="003A5191"/>
    <w:rsid w:val="00F37512"/>
    <w:rsid w:val="00F74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7744"/>
  <w15:docId w15:val="{675168DC-550C-4DC1-BFD8-E57F91A2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s="Times New Roman"/>
      <w:lang w:eastAsia="zh-CN"/>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f5">
    <w:name w:val="List Paragraph"/>
    <w:aliases w:val="UL,Абзац маркированнный,Содержание. 2 уровень,Абзац списка для документа,Список с узором,1,Нумерованый список,List Paragraph1,Маркер,Bullet Number,Bullet List,FooterText,numbered,lp1,f_Абзац 1,ПАРАГРАФ,Цветной список - Акцент 11,мой"/>
    <w:basedOn w:val="a"/>
    <w:link w:val="af6"/>
    <w:uiPriority w:val="34"/>
    <w:qFormat/>
    <w:pPr>
      <w:widowControl w:val="0"/>
      <w:spacing w:after="0" w:line="240" w:lineRule="auto"/>
      <w:ind w:left="981" w:right="178" w:firstLine="708"/>
      <w:jc w:val="both"/>
    </w:pPr>
    <w:rPr>
      <w:rFonts w:ascii="Times New Roman" w:eastAsia="Times New Roman" w:hAnsi="Times New Roman"/>
      <w:lang w:eastAsia="en-US"/>
    </w:rPr>
  </w:style>
  <w:style w:type="table" w:styleId="af7">
    <w:name w:val="Table Grid"/>
    <w:basedOn w:val="a1"/>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aliases w:val="UL Знак,Абзац маркированнный Знак,Содержание. 2 уровень Знак,Абзац списка для документа Знак,Список с узором Знак,1 Знак,Нумерованый список Знак,List Paragraph1 Знак,Маркер Знак,Bullet Number Знак,Bullet List Знак,FooterText Знак"/>
    <w:link w:val="af5"/>
    <w:uiPriority w:val="34"/>
    <w:rPr>
      <w:rFonts w:ascii="Times New Roman" w:eastAsia="Times New Roman" w:hAnsi="Times New Roman" w:cs="Times New Roman"/>
    </w:rPr>
  </w:style>
  <w:style w:type="paragraph" w:styleId="af8">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fn,FT,ft"/>
    <w:basedOn w:val="a"/>
    <w:link w:val="af9"/>
    <w:uiPriority w:val="99"/>
    <w:unhideWhenUsed/>
    <w:qFormat/>
    <w:pPr>
      <w:widowControl w:val="0"/>
      <w:spacing w:after="0" w:line="240" w:lineRule="auto"/>
    </w:pPr>
    <w:rPr>
      <w:rFonts w:ascii="Times New Roman" w:eastAsia="Times New Roman" w:hAnsi="Times New Roman"/>
      <w:sz w:val="20"/>
      <w:szCs w:val="20"/>
      <w:lang w:eastAsia="en-US"/>
    </w:rPr>
  </w:style>
  <w:style w:type="character" w:customStyle="1" w:styleId="af9">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f8"/>
    <w:rPr>
      <w:rFonts w:ascii="Times New Roman" w:eastAsia="Times New Roman" w:hAnsi="Times New Roman" w:cs="Times New Roman"/>
      <w:sz w:val="20"/>
      <w:szCs w:val="20"/>
    </w:rPr>
  </w:style>
  <w:style w:type="character" w:styleId="afa">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basedOn w:val="a0"/>
    <w:link w:val="13"/>
    <w:uiPriority w:val="99"/>
    <w:unhideWhenUsed/>
    <w:qFormat/>
    <w:rPr>
      <w:vertAlign w:val="superscript"/>
    </w:rPr>
  </w:style>
  <w:style w:type="paragraph" w:customStyle="1" w:styleId="13">
    <w:name w:val="Знак сноски1"/>
    <w:link w:val="afa"/>
    <w:uiPriority w:val="99"/>
    <w:qFormat/>
    <w:pPr>
      <w:spacing w:after="0" w:line="240" w:lineRule="auto"/>
    </w:pPr>
    <w:rPr>
      <w:vertAlign w:val="superscript"/>
    </w:rPr>
  </w:style>
  <w:style w:type="paragraph" w:styleId="afb">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Pr>
      <w:rFonts w:ascii="Segoe UI" w:eastAsia="Calibri" w:hAnsi="Segoe UI" w:cs="Segoe UI"/>
      <w:sz w:val="18"/>
      <w:szCs w:val="18"/>
      <w:lang w:eastAsia="zh-CN"/>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pPr>
      <w:spacing w:line="240" w:lineRule="auto"/>
    </w:pPr>
    <w:rPr>
      <w:sz w:val="20"/>
      <w:szCs w:val="20"/>
    </w:rPr>
  </w:style>
  <w:style w:type="character" w:customStyle="1" w:styleId="aff0">
    <w:name w:val="Текст примечания Знак"/>
    <w:basedOn w:val="a0"/>
    <w:link w:val="aff"/>
    <w:uiPriority w:val="99"/>
    <w:semiHidden/>
    <w:rPr>
      <w:rFonts w:ascii="Calibri" w:eastAsia="Calibri" w:hAnsi="Calibri" w:cs="Times New Roman"/>
      <w:sz w:val="20"/>
      <w:szCs w:val="20"/>
      <w:lang w:eastAsia="zh-C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Calibri" w:eastAsia="Calibri" w:hAnsi="Calibri" w:cs="Times New Roman"/>
      <w:b/>
      <w:bCs/>
      <w:sz w:val="20"/>
      <w:szCs w:val="20"/>
      <w:lang w:eastAsia="zh-CN"/>
    </w:rPr>
  </w:style>
  <w:style w:type="character" w:styleId="aff3">
    <w:name w:val="Strong"/>
    <w:basedOn w:val="a0"/>
    <w:uiPriority w:val="22"/>
    <w:qFormat/>
    <w:rPr>
      <w:b/>
      <w:bCs/>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styleId="aff4">
    <w:name w:val="Hyperlink"/>
    <w:basedOn w:val="a0"/>
    <w:uiPriority w:val="99"/>
    <w:unhideWhenUsed/>
    <w:rPr>
      <w:color w:val="0563C1" w:themeColor="hyperlink"/>
      <w:u w:val="single"/>
    </w:rPr>
  </w:style>
  <w:style w:type="character" w:styleId="aff5">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infin.gov.ru/common/upload/library/2023/07/main/Spisok_otsenochnykh.docx?ysclid=mjn49gv0ud590880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C0A12-371F-4CB2-8449-0886597A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1796</Words>
  <Characters>10240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Радин Михаил Александрович</dc:creator>
  <cp:keywords/>
  <dc:description/>
  <cp:lastModifiedBy>Вараксина Анжелика Викторовна</cp:lastModifiedBy>
  <cp:revision>3</cp:revision>
  <dcterms:created xsi:type="dcterms:W3CDTF">2026-02-03T15:37:00Z</dcterms:created>
  <dcterms:modified xsi:type="dcterms:W3CDTF">2026-02-03T15:40:00Z</dcterms:modified>
</cp:coreProperties>
</file>